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widowControl/>
        <w:rPr>
          <w:highlight w:val="none"/>
        </w:rPr>
      </w:pPr>
      <w:bookmarkStart w:id="0" w:name="OLE_LINK2"/>
      <w:r>
        <w:rPr>
          <w:highlight w:val="none"/>
        </w:rPr>
        <w:t>附件1</w:t>
      </w:r>
    </w:p>
    <w:p>
      <w:pPr>
        <w:pStyle w:val="5"/>
        <w:bidi w:val="0"/>
        <w:rPr>
          <w:highlight w:val="none"/>
        </w:rPr>
      </w:pPr>
    </w:p>
    <w:p>
      <w:pPr>
        <w:pStyle w:val="9"/>
        <w:widowControl/>
        <w:rPr>
          <w:highlight w:val="none"/>
        </w:rPr>
      </w:pPr>
      <w:bookmarkStart w:id="1" w:name="OLE_LINK1"/>
      <w:r>
        <w:rPr>
          <w:highlight w:val="none"/>
        </w:rPr>
        <w:t>项目技术需求详细榜单</w:t>
      </w:r>
      <w:bookmarkStart w:id="3" w:name="_GoBack"/>
      <w:bookmarkEnd w:id="3"/>
    </w:p>
    <w:p>
      <w:pPr>
        <w:pStyle w:val="5"/>
        <w:widowControl/>
        <w:rPr>
          <w:rFonts w:ascii="Times New Roman" w:hAnsi="Times New Roman" w:eastAsia="方正仿宋_GB2312" w:cs="方正仿宋_GB2312"/>
          <w:b/>
          <w:bCs w:val="0"/>
          <w:color w:val="000000"/>
          <w:sz w:val="32"/>
          <w:szCs w:val="32"/>
          <w:highlight w:val="none"/>
        </w:rPr>
      </w:pPr>
      <w:r>
        <w:rPr>
          <w:rStyle w:val="15"/>
          <w:rFonts w:hint="eastAsia" w:ascii="仿宋_GB2312" w:hAnsi="仿宋_GB2312" w:eastAsia="仿宋_GB2312" w:cs="仿宋_GB2312"/>
          <w:b/>
          <w:bCs/>
          <w:highlight w:val="none"/>
        </w:rPr>
        <w:t>项目</w:t>
      </w:r>
      <w:r>
        <w:rPr>
          <w:rStyle w:val="15"/>
          <w:rFonts w:hint="eastAsia" w:ascii="仿宋_GB2312" w:hAnsi="仿宋_GB2312" w:eastAsia="仿宋_GB2312" w:cs="仿宋_GB2312"/>
          <w:b/>
          <w:bCs/>
          <w:highlight w:val="none"/>
          <w:lang w:val="en-US" w:eastAsia="zh-CN"/>
        </w:rPr>
        <w:t>名称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</w:rPr>
        <w:t>：</w:t>
      </w:r>
      <w:bookmarkStart w:id="2" w:name="OLE_LINK6"/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highlight w:val="none"/>
        </w:rPr>
        <w:t>基于</w:t>
      </w:r>
      <w:r>
        <w:rPr>
          <w:rFonts w:hint="eastAsia" w:ascii="仿宋_GB2312" w:hAnsi="仿宋_GB2312" w:cs="仿宋_GB2312"/>
          <w:b/>
          <w:bCs w:val="0"/>
          <w:color w:val="000000"/>
          <w:sz w:val="32"/>
          <w:szCs w:val="32"/>
          <w:highlight w:val="none"/>
          <w:lang w:val="en-US" w:eastAsia="zh-CN"/>
        </w:rPr>
        <w:t>发酵食品生产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highlight w:val="none"/>
        </w:rPr>
        <w:t>过程二氧化碳的生物转化制备短碳链有机酸和醇</w:t>
      </w:r>
    </w:p>
    <w:bookmarkEnd w:id="1"/>
    <w:bookmarkEnd w:id="2"/>
    <w:p>
      <w:pPr>
        <w:pStyle w:val="2"/>
        <w:widowControl/>
        <w:rPr>
          <w:highlight w:val="none"/>
        </w:rPr>
      </w:pPr>
      <w:r>
        <w:rPr>
          <w:highlight w:val="none"/>
        </w:rPr>
        <w:t>（一）总投入</w:t>
      </w:r>
    </w:p>
    <w:p>
      <w:pPr>
        <w:pStyle w:val="5"/>
        <w:widowControl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不超过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300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</w:p>
    <w:p>
      <w:pPr>
        <w:pStyle w:val="2"/>
        <w:widowControl/>
        <w:rPr>
          <w:highlight w:val="none"/>
        </w:rPr>
      </w:pPr>
      <w:r>
        <w:rPr>
          <w:highlight w:val="none"/>
        </w:rPr>
        <w:t>（二）开展周期</w:t>
      </w:r>
    </w:p>
    <w:p>
      <w:pPr>
        <w:pStyle w:val="5"/>
        <w:widowControl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不超过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</w:p>
    <w:p>
      <w:pPr>
        <w:pStyle w:val="2"/>
        <w:widowControl/>
        <w:rPr>
          <w:highlight w:val="none"/>
        </w:rPr>
      </w:pPr>
      <w:r>
        <w:rPr>
          <w:highlight w:val="none"/>
        </w:rPr>
        <w:t>（三）技术攻关需求说明</w:t>
      </w:r>
    </w:p>
    <w:p>
      <w:pPr>
        <w:pStyle w:val="5"/>
        <w:widowControl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需求领域：微生物学、合成生物学、电化学、化学工程</w:t>
      </w:r>
    </w:p>
    <w:p>
      <w:pPr>
        <w:pStyle w:val="5"/>
        <w:widowControl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涉及主要一级学科：微生物学、物理化学、材料学</w:t>
      </w:r>
    </w:p>
    <w:p>
      <w:pPr>
        <w:pStyle w:val="5"/>
        <w:widowControl/>
        <w:rPr>
          <w:rFonts w:ascii="Times New Roman" w:hAnsi="Times New Roman" w:eastAsia="方正仿宋_GB2312" w:cs="方正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涉及次要一级学科：发酵工程</w:t>
      </w:r>
    </w:p>
    <w:p>
      <w:pPr>
        <w:pStyle w:val="3"/>
        <w:widowControl/>
        <w:rPr>
          <w:rFonts w:hint="eastAsia" w:ascii="楷体_GB2312" w:hAnsi="楷体_GB2312" w:eastAsia="楷体_GB2312" w:cs="楷体_GB2312"/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1. 研究背景</w:t>
      </w:r>
    </w:p>
    <w:p>
      <w:pPr>
        <w:pStyle w:val="5"/>
        <w:widowControl/>
        <w:rPr>
          <w:rFonts w:ascii="Times New Roman" w:hAnsi="Times New Roman" w:eastAsia="方正仿宋_GB2312" w:cs="方正仿宋_GB231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在国家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双碳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目标（碳达峰与碳中和）及生物制造未来产业的驱动下，二氧化碳（CO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）资源化利用成为传统产业绿色转型的重要方向。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发酵食品生产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过程产生大量高浓度CO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，当前多为直接排放，既造成碳浪费，也带来减排压力。合成生物学与光／电催化耦合的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转化技术，为构建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排放—捕获—转化—高值产品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的闭环体系提供了新路径。然而，现有体系仍面临固碳效率低、能量供给不足及产物合成能力有限等瓶颈。本项目拟以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发酵食品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生产过程中产生的CO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为原料，结合人工固碳途径设计与杂合生物体系构建，实现短碳链有机酸和醇的高效合成，为生物制造提供绿色可再生的碳源供给，探索其向风味前体（如丁酸）拓展的潜力，推动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发酵食品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产业低碳与高值化协同发展。</w:t>
      </w:r>
    </w:p>
    <w:p>
      <w:pPr>
        <w:pStyle w:val="3"/>
        <w:widowControl/>
        <w:rPr>
          <w:rFonts w:hint="eastAsia" w:ascii="楷体_GB2312" w:hAnsi="楷体_GB2312" w:eastAsia="楷体_GB2312" w:cs="楷体_GB2312"/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2. 技术攻关方向</w:t>
      </w:r>
    </w:p>
    <w:p>
      <w:pPr>
        <w:pStyle w:val="5"/>
        <w:widowControl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（1）基于生化反应热力学和动力学计算，在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发酵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源微生物（如酵母、乳酸菌、乙酸菌和甲基营养菌等）或模式微生物中设计与构建CO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固定途径，发掘并表征固碳途径的关键催化元件，提高工程微生物细胞工厂利用CO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等一碳化物的生物转化利用速率；通过实验室适应性进化，获得以CO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等一碳化合物为唯一碳源生长的菌株，提高菌株可持续性。</w:t>
      </w:r>
    </w:p>
    <w:p>
      <w:pPr>
        <w:pStyle w:val="5"/>
        <w:widowControl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2）将高效捕获光能的材料与微生物细胞结合形成杂合体，开发设计与优化杂合体的微生物界面，解析细胞内能量传递与转换机制，开发人工电子通道，提高光电子进入微生物细胞并转化为ATP和还原力并驱动细胞内底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转化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为产物的效率，构建高效的人工光合细胞，提高光能驱动CO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生物转化效率。</w:t>
      </w:r>
    </w:p>
    <w:p>
      <w:pPr>
        <w:pStyle w:val="5"/>
        <w:widowControl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（3）利用合成生物学技术，开发酵母、乙酸菌和甲基营养菌等工程微生物细胞工厂高效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利用电化学还原的一碳产物甲酸、甲醇等，实现CO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等一碳化合物到短碳链（C2至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C4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）生物制造原料合成，耦合化学催化与生物催化实现CO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在温和条件下、发酵罐中高效转化利用。</w:t>
      </w:r>
    </w:p>
    <w:p>
      <w:pPr>
        <w:pStyle w:val="3"/>
        <w:widowControl/>
        <w:rPr>
          <w:rFonts w:hint="eastAsia" w:ascii="楷体_GB2312" w:hAnsi="楷体_GB2312" w:eastAsia="楷体_GB2312" w:cs="楷体_GB2312"/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3. 预期实现的主要技术指标参数</w:t>
      </w:r>
    </w:p>
    <w:p>
      <w:pPr>
        <w:pStyle w:val="5"/>
        <w:widowControl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（1）挖掘和人工设计4－6种关键固碳酶等蛋白催化元件，开发2－3条新型人工固碳途径（包括至少一条以天然固碳途径为基础的优化，和一条非天然的合成途径），重构2－3株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发酵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来源的（或模式菌）、利用CO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等一碳化合物为唯一碳源的工程菌株，实现底物原料的碳转化速率达到10－15mmol C／L／h。</w:t>
      </w:r>
    </w:p>
    <w:p>
      <w:pPr>
        <w:pStyle w:val="5"/>
        <w:widowControl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（2）发展材料的细胞靶向定位方法2－3种，设计和开发3－5种材料—微生物细胞工厂杂合体，开发人工电子传递元件3－5种，构建人工电子传递通道2－3条，最终实现光能驱动CO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合成产物的综合光能利用效率达到3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－6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（项目中期达到3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－4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 项目结题达到4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－6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）。</w:t>
      </w:r>
    </w:p>
    <w:p>
      <w:pPr>
        <w:pStyle w:val="5"/>
        <w:widowControl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（3）实现工程微生物细胞利用CO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等一碳化合物高效合成3－5种短链化合物（如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乙酸、乙醇、乳酸、丙氨酸、丁二酸和丁二醇等）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，探索其向风味前体（如丁酸）拓展的潜力，在至少5L的发酵罐中，以CO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等一碳化合物为底物，合成的短碳链有机酸和醇产量在3至5天内达到5－20g／L，CO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到产物的最终转化率达到15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－20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>
      <w:pPr>
        <w:pStyle w:val="5"/>
        <w:widowControl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（4）建立至少两条CO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转化技术线路，并完成两条技术线路的技术—经济分析。</w:t>
      </w:r>
    </w:p>
    <w:p>
      <w:pPr>
        <w:pStyle w:val="5"/>
        <w:widowControl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（5）发表SCI论文1篇以上，申请发明专利2项以上。</w:t>
      </w:r>
    </w:p>
    <w:p>
      <w:pPr>
        <w:pStyle w:val="3"/>
        <w:widowControl/>
        <w:rPr>
          <w:rFonts w:hint="eastAsia" w:ascii="楷体_GB2312" w:hAnsi="楷体_GB2312" w:eastAsia="楷体_GB2312" w:cs="楷体_GB2312"/>
          <w:highlight w:val="none"/>
        </w:rPr>
      </w:pPr>
      <w:r>
        <w:rPr>
          <w:rFonts w:hint="eastAsia" w:ascii="楷体_GB2312" w:hAnsi="楷体_GB2312" w:eastAsia="楷体_GB2312" w:cs="楷体_GB2312"/>
          <w:highlight w:val="none"/>
        </w:rPr>
        <w:t>4.揭榜条件</w:t>
      </w:r>
    </w:p>
    <w:p>
      <w:pPr>
        <w:pStyle w:val="5"/>
        <w:widowControl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揭榜团队为贵州省生物制造实验室省外研发中心合作单位，项目牵头人须符合下列条件：</w:t>
      </w:r>
    </w:p>
    <w:p>
      <w:pPr>
        <w:pStyle w:val="5"/>
        <w:widowControl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（1）能针对发榜项目需求，提出攻克技术难题的可行性方案，并且该方案、技术、仪器设备等不涉及知识产权等法律纠纷；</w:t>
      </w:r>
    </w:p>
    <w:p>
      <w:pPr>
        <w:pStyle w:val="5"/>
        <w:widowControl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（2）具有良好的科研道德和社会信用，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近三年内无严重科研不端与失信行为记录、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不良信用记录、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重大违法违规行为、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无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重大安全事故或重大质量事故、未受到相关主管部门的行政处罚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>
      <w:pPr>
        <w:rPr>
          <w:rFonts w:hint="default" w:ascii="Times New Roman" w:hAnsi="Times New Roman" w:eastAsia="仿宋_GB2312" w:cs="Times New Roman"/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rFonts w:hint="eastAsia" w:ascii="黑体" w:hAnsi="黑体" w:eastAsia="黑体" w:cs="黑体"/>
          <w:sz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lang w:val="en-US" w:eastAsia="zh-CN"/>
        </w:rPr>
      </w:pPr>
    </w:p>
    <w:bookmarkEnd w:id="0"/>
    <w:p>
      <w:pPr>
        <w:rPr>
          <w:rFonts w:hint="eastAsia"/>
          <w:lang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>13</w:t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AegHW0wAAAAYBAAAPAAAAAAAAAAEAIAAAACIAAABkcnMvZG93bnJldi54bWxQSwECFAAUAAAA&#10;CACHTuJAMgsizCwCAABXBAAADgAAAAAAAAABACAAAAAi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仿宋" w:hAnsi="仿宋" w:eastAsia="仿宋" w:cs="仿宋"/>
                        <w:sz w:val="28"/>
                        <w:szCs w:val="40"/>
                      </w:rPr>
                    </w:pP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>13</w:t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ascii="仿宋" w:hAnsi="仿宋" w:eastAsia="仿宋" w:cs="仿宋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B5C88"/>
    <w:rsid w:val="0BCB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15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6">
    <w:name w:val="endnote text"/>
    <w:basedOn w:val="1"/>
    <w:unhideWhenUsed/>
    <w:qFormat/>
    <w:uiPriority w:val="99"/>
    <w:pPr>
      <w:snapToGrid w:val="0"/>
      <w:jc w:val="left"/>
    </w:pPr>
    <w:rPr>
      <w:rFonts w:ascii="Times New Roman" w:hAnsi="Times New Roman" w:eastAsia="仿宋_GB2312" w:cs="Times New Roman"/>
      <w:sz w:val="30"/>
      <w:szCs w:val="30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paragraph" w:customStyle="1" w:styleId="14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15">
    <w:name w:val="标题 3 Char1"/>
    <w:link w:val="4"/>
    <w:qFormat/>
    <w:uiPriority w:val="9"/>
    <w:rPr>
      <w:rFonts w:ascii="Times New Roman" w:hAnsi="Times New Roman" w:eastAsia="仿宋_GB2312" w:cs="仿宋_GB2312"/>
      <w:sz w:val="32"/>
      <w:szCs w:val="32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2026-10-13T06:47:00Z</dcterms:created>
  <dc:creator>fuhui meng</dc:creator>
  <cp:lastModifiedBy>fuhui meng</cp:lastModifiedBy>
  <dcterms:modified xsi:type="dcterms:W3CDTF">2026-10-13T06:51:08Z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2052-12.8.2.15302</vt:lpwstr>
  </property>
  <property fmtid="{D5CDD505-2E9C-101B-9397-08002B2CF9AE}" pid="3" name="ICV">
    <vt:lpwstr>6A06A684C19544ED9B32E923654E847F_11</vt:lpwstr>
  </property>
</Properties>
</file>