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90E4" w14:textId="77777777" w:rsidR="002B61E1" w:rsidRPr="003B7610" w:rsidRDefault="002B61E1" w:rsidP="002B61E1">
      <w:pPr>
        <w:widowControl/>
        <w:rPr>
          <w:rFonts w:ascii="宋体" w:hAnsi="宋体" w:cs="Calibri"/>
          <w:b/>
          <w:szCs w:val="21"/>
        </w:rPr>
      </w:pPr>
      <w:r w:rsidRPr="003B7610">
        <w:rPr>
          <w:rFonts w:ascii="宋体" w:hAnsi="宋体" w:cs="Calibri" w:hint="eastAsia"/>
          <w:b/>
          <w:szCs w:val="21"/>
        </w:rPr>
        <w:t>PI介绍</w:t>
      </w:r>
    </w:p>
    <w:p w14:paraId="6866679F" w14:textId="3B75BDA2" w:rsidR="002B61E1" w:rsidRPr="003B7610" w:rsidRDefault="002B61E1" w:rsidP="002B61E1">
      <w:pPr>
        <w:widowControl/>
        <w:ind w:firstLineChars="200" w:firstLine="420"/>
        <w:rPr>
          <w:rFonts w:ascii="宋体" w:hAnsi="宋体" w:cs="Calibri"/>
          <w:bCs/>
          <w:szCs w:val="21"/>
        </w:rPr>
      </w:pPr>
      <w:r w:rsidRPr="003B7610">
        <w:rPr>
          <w:rFonts w:ascii="宋体" w:hAnsi="宋体" w:cs="Calibri"/>
          <w:bCs/>
          <w:szCs w:val="21"/>
        </w:rPr>
        <w:t>陈万泽，</w:t>
      </w:r>
      <w:r w:rsidRPr="003B7610">
        <w:rPr>
          <w:rFonts w:ascii="宋体" w:hAnsi="宋体" w:cs="Calibri" w:hint="eastAsia"/>
          <w:bCs/>
          <w:szCs w:val="21"/>
        </w:rPr>
        <w:t>博士生导师，</w:t>
      </w:r>
      <w:r w:rsidRPr="003B7610">
        <w:rPr>
          <w:rFonts w:ascii="宋体" w:hAnsi="宋体" w:cs="Calibri"/>
          <w:bCs/>
          <w:szCs w:val="21"/>
        </w:rPr>
        <w:t>中科院深圳先进技术研究院合成生物学研究所研究员</w:t>
      </w:r>
      <w:r w:rsidR="006D1555">
        <w:rPr>
          <w:rFonts w:ascii="宋体" w:hAnsi="宋体" w:cs="Calibri" w:hint="eastAsia"/>
          <w:bCs/>
          <w:szCs w:val="21"/>
        </w:rPr>
        <w:t>，</w:t>
      </w:r>
      <w:r>
        <w:rPr>
          <w:rFonts w:ascii="宋体" w:hAnsi="宋体" w:cs="Calibri" w:hint="eastAsia"/>
          <w:bCs/>
          <w:szCs w:val="21"/>
        </w:rPr>
        <w:t>中科院</w:t>
      </w:r>
      <w:r w:rsidR="006D1555">
        <w:rPr>
          <w:rFonts w:ascii="宋体" w:hAnsi="宋体" w:cs="Calibri" w:hint="eastAsia"/>
          <w:bCs/>
          <w:szCs w:val="21"/>
        </w:rPr>
        <w:t>百人</w:t>
      </w:r>
      <w:r>
        <w:rPr>
          <w:rFonts w:ascii="宋体" w:hAnsi="宋体" w:cs="Calibri" w:hint="eastAsia"/>
          <w:bCs/>
          <w:szCs w:val="21"/>
        </w:rPr>
        <w:t>、广东省珠江计划等项目支持。</w:t>
      </w:r>
      <w:r w:rsidRPr="003B7610">
        <w:rPr>
          <w:rFonts w:ascii="宋体" w:hAnsi="宋体" w:cs="Calibri"/>
          <w:bCs/>
          <w:szCs w:val="21"/>
        </w:rPr>
        <w:t>2013年</w:t>
      </w:r>
      <w:r w:rsidRPr="003B7610">
        <w:rPr>
          <w:rFonts w:ascii="宋体" w:hAnsi="宋体" w:cs="Calibri" w:hint="eastAsia"/>
          <w:bCs/>
          <w:szCs w:val="21"/>
        </w:rPr>
        <w:t>博士</w:t>
      </w:r>
      <w:r w:rsidRPr="003B7610">
        <w:rPr>
          <w:rFonts w:ascii="宋体" w:hAnsi="宋体" w:cs="Calibri"/>
          <w:bCs/>
          <w:szCs w:val="21"/>
        </w:rPr>
        <w:t>毕业于厦门大学生命科学学院，师从中科院院士韩家淮教授</w:t>
      </w:r>
      <w:r w:rsidRPr="003B7610">
        <w:rPr>
          <w:rFonts w:ascii="宋体" w:hAnsi="宋体" w:cs="Calibri" w:hint="eastAsia"/>
          <w:bCs/>
          <w:szCs w:val="21"/>
        </w:rPr>
        <w:t>。</w:t>
      </w:r>
      <w:r w:rsidRPr="003B7610">
        <w:rPr>
          <w:rFonts w:ascii="宋体" w:hAnsi="宋体" w:cs="Calibri"/>
          <w:bCs/>
          <w:szCs w:val="21"/>
        </w:rPr>
        <w:t>2015年至2021年，于瑞士洛桑联邦理工</w:t>
      </w:r>
      <w:r w:rsidRPr="003B7610">
        <w:rPr>
          <w:rFonts w:ascii="宋体" w:hAnsi="宋体" w:cs="Calibri" w:hint="eastAsia"/>
          <w:bCs/>
          <w:szCs w:val="21"/>
        </w:rPr>
        <w:t>学院</w:t>
      </w:r>
      <w:r w:rsidRPr="003B7610">
        <w:rPr>
          <w:rFonts w:ascii="宋体" w:hAnsi="宋体" w:cs="Calibri"/>
          <w:bCs/>
          <w:szCs w:val="21"/>
        </w:rPr>
        <w:t xml:space="preserve">Bart </w:t>
      </w:r>
      <w:proofErr w:type="spellStart"/>
      <w:r w:rsidRPr="003B7610">
        <w:rPr>
          <w:rFonts w:ascii="宋体" w:hAnsi="宋体" w:cs="Calibri"/>
          <w:bCs/>
          <w:szCs w:val="21"/>
        </w:rPr>
        <w:t>Deplancke</w:t>
      </w:r>
      <w:proofErr w:type="spellEnd"/>
      <w:r>
        <w:rPr>
          <w:rFonts w:ascii="宋体" w:hAnsi="宋体" w:cs="Calibri" w:hint="eastAsia"/>
          <w:bCs/>
          <w:szCs w:val="21"/>
        </w:rPr>
        <w:t>实验室做</w:t>
      </w:r>
      <w:r w:rsidRPr="003B7610">
        <w:rPr>
          <w:rFonts w:ascii="宋体" w:hAnsi="宋体" w:cs="Calibri" w:hint="eastAsia"/>
          <w:bCs/>
          <w:szCs w:val="21"/>
        </w:rPr>
        <w:t>系</w:t>
      </w:r>
      <w:r w:rsidRPr="003B7610">
        <w:rPr>
          <w:rFonts w:ascii="宋体" w:hAnsi="宋体" w:cs="Calibri"/>
          <w:bCs/>
          <w:szCs w:val="21"/>
        </w:rPr>
        <w:t>统生物学和遗传学博士后研究</w:t>
      </w:r>
      <w:r w:rsidRPr="003B7610">
        <w:rPr>
          <w:rFonts w:ascii="宋体" w:hAnsi="宋体" w:cs="Calibri" w:hint="eastAsia"/>
          <w:bCs/>
          <w:szCs w:val="21"/>
        </w:rPr>
        <w:t>。2</w:t>
      </w:r>
      <w:r w:rsidRPr="003B7610">
        <w:rPr>
          <w:rFonts w:ascii="宋体" w:hAnsi="宋体" w:cs="Calibri"/>
          <w:bCs/>
          <w:szCs w:val="21"/>
        </w:rPr>
        <w:t>021</w:t>
      </w:r>
      <w:r w:rsidRPr="003B7610">
        <w:rPr>
          <w:rFonts w:ascii="宋体" w:hAnsi="宋体" w:cs="Calibri" w:hint="eastAsia"/>
          <w:bCs/>
          <w:szCs w:val="21"/>
        </w:rPr>
        <w:t>年起就职于现单位。以主要作者在</w:t>
      </w:r>
      <w:r w:rsidRPr="00D37718">
        <w:rPr>
          <w:rFonts w:ascii="宋体" w:hAnsi="宋体" w:cs="Calibri" w:hint="eastAsia"/>
          <w:bCs/>
          <w:i/>
          <w:iCs/>
          <w:szCs w:val="21"/>
        </w:rPr>
        <w:t>Nature</w:t>
      </w:r>
      <w:r w:rsidRPr="003B7610">
        <w:rPr>
          <w:rFonts w:ascii="宋体" w:hAnsi="宋体" w:cs="Calibri" w:hint="eastAsia"/>
          <w:bCs/>
          <w:szCs w:val="21"/>
        </w:rPr>
        <w:t>，</w:t>
      </w:r>
      <w:r w:rsidRPr="00D37718">
        <w:rPr>
          <w:rFonts w:ascii="宋体" w:hAnsi="宋体" w:cs="Calibri"/>
          <w:bCs/>
          <w:i/>
          <w:iCs/>
          <w:szCs w:val="21"/>
        </w:rPr>
        <w:t>Nat</w:t>
      </w:r>
      <w:r>
        <w:rPr>
          <w:rFonts w:ascii="宋体" w:hAnsi="宋体" w:cs="Calibri" w:hint="eastAsia"/>
          <w:bCs/>
          <w:i/>
          <w:iCs/>
          <w:szCs w:val="21"/>
        </w:rPr>
        <w:t>ure</w:t>
      </w:r>
      <w:r w:rsidRPr="00D37718">
        <w:rPr>
          <w:rFonts w:ascii="宋体" w:hAnsi="宋体" w:cs="Calibri"/>
          <w:bCs/>
          <w:i/>
          <w:iCs/>
          <w:szCs w:val="21"/>
        </w:rPr>
        <w:t xml:space="preserve"> Cell Biol</w:t>
      </w:r>
      <w:r>
        <w:rPr>
          <w:rFonts w:ascii="宋体" w:hAnsi="宋体" w:cs="Calibri"/>
          <w:bCs/>
          <w:i/>
          <w:iCs/>
          <w:szCs w:val="21"/>
        </w:rPr>
        <w:t>ogy</w:t>
      </w:r>
      <w:r w:rsidRPr="003B7610">
        <w:rPr>
          <w:rFonts w:ascii="宋体" w:hAnsi="宋体" w:cs="Calibri" w:hint="eastAsia"/>
          <w:bCs/>
          <w:szCs w:val="21"/>
        </w:rPr>
        <w:t>，</w:t>
      </w:r>
      <w:r w:rsidRPr="00D37718">
        <w:rPr>
          <w:rFonts w:ascii="宋体" w:hAnsi="宋体" w:cs="Calibri"/>
          <w:bCs/>
          <w:i/>
          <w:iCs/>
          <w:szCs w:val="21"/>
        </w:rPr>
        <w:t>Nat Commun</w:t>
      </w:r>
      <w:r>
        <w:rPr>
          <w:rFonts w:ascii="宋体" w:hAnsi="宋体" w:cs="Calibri"/>
          <w:bCs/>
          <w:i/>
          <w:iCs/>
          <w:szCs w:val="21"/>
        </w:rPr>
        <w:t>ications</w:t>
      </w:r>
      <w:r w:rsidRPr="003B7610">
        <w:rPr>
          <w:rFonts w:ascii="宋体" w:hAnsi="宋体" w:cs="Calibri"/>
          <w:bCs/>
          <w:szCs w:val="21"/>
        </w:rPr>
        <w:t>，Cell Re</w:t>
      </w:r>
      <w:r w:rsidRPr="003B7610">
        <w:rPr>
          <w:rFonts w:ascii="宋体" w:hAnsi="宋体" w:cs="Calibri" w:hint="eastAsia"/>
          <w:bCs/>
          <w:szCs w:val="21"/>
        </w:rPr>
        <w:t>s</w:t>
      </w:r>
      <w:r>
        <w:rPr>
          <w:rFonts w:ascii="宋体" w:hAnsi="宋体" w:cs="Calibri"/>
          <w:bCs/>
          <w:szCs w:val="21"/>
        </w:rPr>
        <w:t>earch</w:t>
      </w:r>
      <w:r w:rsidRPr="003B7610">
        <w:rPr>
          <w:rFonts w:ascii="宋体" w:hAnsi="宋体" w:cs="Calibri"/>
          <w:bCs/>
          <w:szCs w:val="21"/>
        </w:rPr>
        <w:t>等杂志发表</w:t>
      </w:r>
      <w:r w:rsidRPr="003B7610">
        <w:rPr>
          <w:rFonts w:ascii="宋体" w:hAnsi="宋体" w:cs="Calibri" w:hint="eastAsia"/>
          <w:bCs/>
          <w:szCs w:val="21"/>
        </w:rPr>
        <w:t>多篇</w:t>
      </w:r>
      <w:r w:rsidRPr="003B7610">
        <w:rPr>
          <w:rFonts w:ascii="宋体" w:hAnsi="宋体" w:cs="Calibri"/>
          <w:bCs/>
          <w:szCs w:val="21"/>
        </w:rPr>
        <w:t>学术论文</w:t>
      </w:r>
      <w:r w:rsidRPr="003B7610">
        <w:rPr>
          <w:rFonts w:ascii="宋体" w:hAnsi="宋体" w:cs="Calibri" w:hint="eastAsia"/>
          <w:bCs/>
          <w:szCs w:val="21"/>
        </w:rPr>
        <w:t>，</w:t>
      </w:r>
      <w:r>
        <w:rPr>
          <w:rFonts w:ascii="宋体" w:hAnsi="宋体" w:cs="Calibri" w:hint="eastAsia"/>
          <w:bCs/>
          <w:szCs w:val="21"/>
        </w:rPr>
        <w:t>部分工作获评S</w:t>
      </w:r>
      <w:r w:rsidRPr="005F70AA">
        <w:rPr>
          <w:rFonts w:ascii="宋体" w:hAnsi="宋体" w:cs="Calibri"/>
          <w:bCs/>
          <w:szCs w:val="21"/>
        </w:rPr>
        <w:t>wiss institute of bioinformatics</w:t>
      </w:r>
      <w:r>
        <w:rPr>
          <w:rFonts w:ascii="宋体" w:hAnsi="宋体" w:cs="Calibri" w:hint="eastAsia"/>
          <w:bCs/>
          <w:szCs w:val="21"/>
        </w:rPr>
        <w:t>的1</w:t>
      </w:r>
      <w:r>
        <w:rPr>
          <w:rFonts w:ascii="宋体" w:hAnsi="宋体" w:cs="Calibri"/>
          <w:bCs/>
          <w:szCs w:val="21"/>
        </w:rPr>
        <w:t xml:space="preserve">0 </w:t>
      </w:r>
      <w:r>
        <w:rPr>
          <w:rFonts w:ascii="宋体" w:hAnsi="宋体" w:cs="Calibri" w:hint="eastAsia"/>
          <w:bCs/>
          <w:szCs w:val="21"/>
        </w:rPr>
        <w:t>Re</w:t>
      </w:r>
      <w:r>
        <w:rPr>
          <w:rFonts w:ascii="宋体" w:hAnsi="宋体" w:cs="Calibri"/>
          <w:bCs/>
          <w:szCs w:val="21"/>
        </w:rPr>
        <w:t>markable Outputs</w:t>
      </w:r>
      <w:r>
        <w:rPr>
          <w:rFonts w:ascii="宋体" w:hAnsi="宋体" w:cs="Calibri" w:hint="eastAsia"/>
          <w:bCs/>
          <w:szCs w:val="21"/>
        </w:rPr>
        <w:t>。</w:t>
      </w:r>
      <w:r w:rsidRPr="003B7610">
        <w:rPr>
          <w:rFonts w:ascii="宋体" w:hAnsi="宋体" w:cs="Calibri" w:hint="eastAsia"/>
          <w:bCs/>
          <w:szCs w:val="21"/>
        </w:rPr>
        <w:t>（曾）获</w:t>
      </w:r>
      <w:r w:rsidRPr="003B7610">
        <w:rPr>
          <w:rFonts w:ascii="宋体" w:hAnsi="宋体" w:cs="Calibri"/>
          <w:bCs/>
          <w:szCs w:val="21"/>
        </w:rPr>
        <w:t xml:space="preserve">Marie </w:t>
      </w:r>
      <w:proofErr w:type="spellStart"/>
      <w:r w:rsidRPr="003B7610">
        <w:rPr>
          <w:rFonts w:ascii="宋体" w:hAnsi="宋体" w:cs="Calibri"/>
          <w:bCs/>
          <w:szCs w:val="21"/>
        </w:rPr>
        <w:t>Sk</w:t>
      </w:r>
      <w:r w:rsidRPr="003B7610">
        <w:rPr>
          <w:rFonts w:ascii="Cambria" w:hAnsi="Cambria" w:cs="Cambria"/>
          <w:bCs/>
          <w:szCs w:val="21"/>
        </w:rPr>
        <w:t>ł</w:t>
      </w:r>
      <w:r w:rsidRPr="003B7610">
        <w:rPr>
          <w:rFonts w:ascii="宋体" w:hAnsi="宋体" w:cs="Calibri"/>
          <w:bCs/>
          <w:szCs w:val="21"/>
        </w:rPr>
        <w:t>odowska</w:t>
      </w:r>
      <w:proofErr w:type="spellEnd"/>
      <w:r w:rsidRPr="003B7610">
        <w:rPr>
          <w:rFonts w:ascii="宋体" w:hAnsi="宋体" w:cs="Calibri"/>
          <w:bCs/>
          <w:szCs w:val="21"/>
        </w:rPr>
        <w:t>-Curie Fellowship</w:t>
      </w:r>
      <w:r w:rsidRPr="003B7610">
        <w:rPr>
          <w:rFonts w:ascii="宋体" w:hAnsi="宋体" w:cs="Calibri" w:hint="eastAsia"/>
          <w:bCs/>
          <w:szCs w:val="21"/>
        </w:rPr>
        <w:t>、科技部国家重点研发计划、深圳合成生物学创新研究院等研究基金支持</w:t>
      </w:r>
      <w:r w:rsidRPr="003B7610">
        <w:rPr>
          <w:rFonts w:ascii="宋体" w:hAnsi="宋体" w:cs="Calibri"/>
          <w:bCs/>
          <w:szCs w:val="21"/>
        </w:rPr>
        <w:t>。</w:t>
      </w:r>
    </w:p>
    <w:p w14:paraId="3BA23513" w14:textId="77777777" w:rsidR="002B61E1" w:rsidRPr="003B7610" w:rsidRDefault="002B61E1" w:rsidP="002B61E1">
      <w:pPr>
        <w:rPr>
          <w:rFonts w:ascii="宋体" w:hAnsi="宋体"/>
          <w:szCs w:val="21"/>
        </w:rPr>
      </w:pPr>
    </w:p>
    <w:p w14:paraId="58DAEC79" w14:textId="77777777" w:rsidR="002B61E1" w:rsidRPr="003B7610" w:rsidRDefault="002B61E1" w:rsidP="002B61E1">
      <w:pPr>
        <w:rPr>
          <w:rFonts w:ascii="宋体" w:hAnsi="宋体"/>
          <w:b/>
          <w:szCs w:val="21"/>
        </w:rPr>
      </w:pPr>
      <w:r w:rsidRPr="003B7610">
        <w:rPr>
          <w:rFonts w:ascii="宋体" w:hAnsi="宋体" w:cs="Calibri"/>
          <w:b/>
          <w:szCs w:val="21"/>
        </w:rPr>
        <w:t>研究方向：</w:t>
      </w:r>
      <w:r w:rsidRPr="003B7610">
        <w:rPr>
          <w:rFonts w:ascii="宋体" w:hAnsi="宋体" w:cs="Calibri" w:hint="eastAsia"/>
          <w:b/>
          <w:szCs w:val="21"/>
        </w:rPr>
        <w:t>通过多学科的技术创新推动对细胞命运的理解和改造</w:t>
      </w:r>
      <w:r w:rsidRPr="003B7610">
        <w:rPr>
          <w:rFonts w:ascii="宋体" w:hAnsi="宋体" w:cs="Calibri"/>
          <w:b/>
          <w:szCs w:val="21"/>
        </w:rPr>
        <w:t>。</w:t>
      </w:r>
    </w:p>
    <w:p w14:paraId="61AEBE3D" w14:textId="77777777" w:rsidR="002B61E1" w:rsidRPr="003B7610" w:rsidRDefault="002B61E1" w:rsidP="002B61E1">
      <w:pPr>
        <w:ind w:firstLine="420"/>
        <w:rPr>
          <w:rFonts w:ascii="宋体" w:hAnsi="宋体"/>
          <w:szCs w:val="21"/>
        </w:rPr>
      </w:pPr>
      <w:r w:rsidRPr="003B7610">
        <w:rPr>
          <w:rFonts w:ascii="宋体" w:hAnsi="宋体"/>
          <w:szCs w:val="21"/>
        </w:rPr>
        <w:t>细胞作为生命的基本单位，其命运决定，包括增殖、分化、衰老、死亡等既是个体生长发育的基础，也是疾病产生的重要原因。本实验室通过对细胞命运决定机制的研究，探讨这些过程在正常生理和疾病的功能。继而尝试对细胞命运的干预，为疾病治疗提供可能的策略。</w:t>
      </w:r>
    </w:p>
    <w:p w14:paraId="07C513AA" w14:textId="77777777" w:rsidR="002B61E1" w:rsidRPr="003B7610" w:rsidRDefault="002B61E1" w:rsidP="002B61E1">
      <w:pPr>
        <w:rPr>
          <w:rFonts w:ascii="宋体" w:hAnsi="宋体"/>
          <w:szCs w:val="21"/>
        </w:rPr>
      </w:pPr>
    </w:p>
    <w:p w14:paraId="2E900AA5" w14:textId="0C1C1821" w:rsidR="002B61E1" w:rsidRDefault="002B61E1" w:rsidP="002B61E1">
      <w:pPr>
        <w:ind w:firstLine="420"/>
        <w:rPr>
          <w:rFonts w:ascii="宋体" w:hAnsi="宋体"/>
          <w:szCs w:val="21"/>
        </w:rPr>
      </w:pPr>
      <w:r w:rsidRPr="003B7610">
        <w:rPr>
          <w:rFonts w:ascii="宋体" w:hAnsi="宋体"/>
          <w:szCs w:val="21"/>
        </w:rPr>
        <w:t>注重多学科交叉的新技术开发是本实验室的一个特色</w:t>
      </w:r>
      <w:r>
        <w:rPr>
          <w:rFonts w:ascii="宋体" w:hAnsi="宋体" w:hint="eastAsia"/>
          <w:szCs w:val="21"/>
        </w:rPr>
        <w:t>。</w:t>
      </w:r>
      <w:r w:rsidRPr="003B7610">
        <w:rPr>
          <w:rFonts w:ascii="宋体" w:hAnsi="宋体"/>
          <w:szCs w:val="21"/>
        </w:rPr>
        <w:t>实验室</w:t>
      </w:r>
      <w:r>
        <w:rPr>
          <w:rFonts w:ascii="宋体" w:hAnsi="宋体" w:hint="eastAsia"/>
          <w:szCs w:val="21"/>
        </w:rPr>
        <w:t>开发了</w:t>
      </w:r>
      <w:r w:rsidRPr="003B7610">
        <w:rPr>
          <w:rFonts w:ascii="宋体" w:hAnsi="宋体"/>
          <w:szCs w:val="21"/>
        </w:rPr>
        <w:t>活细胞测序技术</w:t>
      </w:r>
      <w:r>
        <w:rPr>
          <w:rFonts w:ascii="宋体" w:hAnsi="宋体" w:hint="eastAsia"/>
          <w:szCs w:val="21"/>
        </w:rPr>
        <w:t>Live-seq</w:t>
      </w:r>
      <w:r w:rsidRPr="003B7610">
        <w:rPr>
          <w:rFonts w:ascii="宋体" w:hAnsi="宋体"/>
          <w:szCs w:val="21"/>
        </w:rPr>
        <w:t>，</w:t>
      </w:r>
      <w:r w:rsidR="00E96DBC">
        <w:rPr>
          <w:rFonts w:ascii="宋体" w:hAnsi="宋体" w:hint="eastAsia"/>
          <w:szCs w:val="21"/>
        </w:rPr>
        <w:t>是目前细胞转录组动态的唯一解决方案</w:t>
      </w:r>
      <w:r w:rsidRPr="003B7610">
        <w:rPr>
          <w:rFonts w:ascii="宋体" w:hAnsi="宋体"/>
          <w:szCs w:val="21"/>
        </w:rPr>
        <w:t>。此外</w:t>
      </w:r>
      <w:r>
        <w:rPr>
          <w:rFonts w:ascii="宋体" w:hAnsi="宋体" w:hint="eastAsia"/>
          <w:szCs w:val="21"/>
        </w:rPr>
        <w:t>，</w:t>
      </w:r>
      <w:r w:rsidRPr="003B7610">
        <w:rPr>
          <w:rFonts w:ascii="宋体" w:hAnsi="宋体"/>
          <w:szCs w:val="21"/>
        </w:rPr>
        <w:t>还有</w:t>
      </w:r>
      <w:r>
        <w:rPr>
          <w:rFonts w:ascii="宋体" w:hAnsi="宋体" w:hint="eastAsia"/>
          <w:szCs w:val="21"/>
        </w:rPr>
        <w:t>细胞编程、高通量表型筛选等多个</w:t>
      </w:r>
      <w:r w:rsidRPr="003B7610">
        <w:rPr>
          <w:rFonts w:ascii="宋体" w:hAnsi="宋体"/>
          <w:szCs w:val="21"/>
        </w:rPr>
        <w:t>新技术已经进入应用阶段。这些新技术为细胞命运决定机制的研究和功能改造提供的独特的工具。</w:t>
      </w:r>
    </w:p>
    <w:p w14:paraId="66F52405" w14:textId="77777777" w:rsidR="002B61E1" w:rsidRDefault="002B61E1" w:rsidP="002B61E1">
      <w:pPr>
        <w:ind w:firstLine="420"/>
        <w:rPr>
          <w:rFonts w:ascii="宋体" w:hAnsi="宋体"/>
          <w:szCs w:val="21"/>
        </w:rPr>
      </w:pPr>
    </w:p>
    <w:p w14:paraId="6573C9FA" w14:textId="77777777" w:rsidR="002B61E1" w:rsidRPr="003B7610" w:rsidRDefault="002B61E1" w:rsidP="002B61E1">
      <w:pPr>
        <w:ind w:firstLine="420"/>
        <w:rPr>
          <w:rFonts w:ascii="宋体" w:hAnsi="宋体"/>
          <w:szCs w:val="21"/>
        </w:rPr>
      </w:pPr>
      <w:r w:rsidRPr="003B7610">
        <w:rPr>
          <w:rFonts w:ascii="宋体" w:hAnsi="宋体"/>
          <w:szCs w:val="21"/>
        </w:rPr>
        <w:t>具体的，本实验室的课题涉及（不限于）如下方面：</w:t>
      </w:r>
    </w:p>
    <w:p w14:paraId="261866D2" w14:textId="77777777" w:rsidR="002B61E1" w:rsidRPr="003B7610" w:rsidRDefault="002B61E1" w:rsidP="002B61E1">
      <w:pPr>
        <w:rPr>
          <w:rFonts w:ascii="宋体" w:hAnsi="宋体"/>
          <w:szCs w:val="21"/>
        </w:rPr>
      </w:pPr>
      <w:r w:rsidRPr="003B7610">
        <w:rPr>
          <w:rFonts w:ascii="宋体" w:hAnsi="宋体"/>
          <w:szCs w:val="21"/>
        </w:rPr>
        <w:t>1）</w:t>
      </w:r>
      <w:r w:rsidRPr="003B7610">
        <w:rPr>
          <w:rFonts w:ascii="宋体" w:hAnsi="宋体"/>
          <w:szCs w:val="21"/>
        </w:rPr>
        <w:tab/>
        <w:t>干细胞的体外扩增。</w:t>
      </w:r>
    </w:p>
    <w:p w14:paraId="112D4874" w14:textId="77777777" w:rsidR="002B61E1" w:rsidRPr="003B7610" w:rsidRDefault="002B61E1" w:rsidP="002B61E1">
      <w:pPr>
        <w:rPr>
          <w:rFonts w:ascii="宋体" w:hAnsi="宋体"/>
          <w:szCs w:val="21"/>
        </w:rPr>
      </w:pPr>
      <w:r w:rsidRPr="003B7610">
        <w:rPr>
          <w:rFonts w:ascii="宋体" w:hAnsi="宋体"/>
          <w:szCs w:val="21"/>
        </w:rPr>
        <w:t>2）</w:t>
      </w:r>
      <w:r w:rsidRPr="003B7610">
        <w:rPr>
          <w:rFonts w:ascii="宋体" w:hAnsi="宋体"/>
          <w:szCs w:val="21"/>
        </w:rPr>
        <w:tab/>
        <w:t>基于单细胞转录组的细胞命运编程和重编程。</w:t>
      </w:r>
    </w:p>
    <w:p w14:paraId="11414C88" w14:textId="77777777" w:rsidR="002B61E1" w:rsidRPr="003B7610" w:rsidRDefault="002B61E1" w:rsidP="002B61E1">
      <w:pPr>
        <w:rPr>
          <w:rFonts w:ascii="宋体" w:hAnsi="宋体"/>
          <w:szCs w:val="21"/>
        </w:rPr>
      </w:pPr>
      <w:r w:rsidRPr="003B7610">
        <w:rPr>
          <w:rFonts w:ascii="宋体" w:hAnsi="宋体"/>
          <w:szCs w:val="21"/>
        </w:rPr>
        <w:t>3）</w:t>
      </w:r>
      <w:r w:rsidRPr="003B7610">
        <w:rPr>
          <w:rFonts w:ascii="宋体" w:hAnsi="宋体"/>
          <w:szCs w:val="21"/>
        </w:rPr>
        <w:tab/>
        <w:t>基于微流控</w:t>
      </w:r>
      <w:r>
        <w:rPr>
          <w:rFonts w:ascii="宋体" w:hAnsi="宋体" w:hint="eastAsia"/>
          <w:szCs w:val="21"/>
        </w:rPr>
        <w:t>的</w:t>
      </w:r>
      <w:r w:rsidRPr="003B7610">
        <w:rPr>
          <w:rFonts w:ascii="宋体" w:hAnsi="宋体"/>
          <w:szCs w:val="21"/>
        </w:rPr>
        <w:t>单细胞高通量</w:t>
      </w:r>
      <w:r>
        <w:rPr>
          <w:rFonts w:ascii="宋体" w:hAnsi="宋体" w:hint="eastAsia"/>
          <w:szCs w:val="21"/>
        </w:rPr>
        <w:t>表型分析技术</w:t>
      </w:r>
      <w:r w:rsidRPr="003B7610">
        <w:rPr>
          <w:rFonts w:ascii="宋体" w:hAnsi="宋体"/>
          <w:szCs w:val="21"/>
        </w:rPr>
        <w:t>的开发及其在细胞命运研究中的应用。</w:t>
      </w:r>
    </w:p>
    <w:p w14:paraId="1121AE56" w14:textId="77777777" w:rsidR="002B61E1" w:rsidRPr="003B7610" w:rsidRDefault="002B61E1" w:rsidP="002B61E1">
      <w:pPr>
        <w:rPr>
          <w:rFonts w:ascii="宋体" w:hAnsi="宋体"/>
          <w:szCs w:val="21"/>
        </w:rPr>
      </w:pPr>
      <w:r w:rsidRPr="003B7610">
        <w:rPr>
          <w:rFonts w:ascii="宋体" w:hAnsi="宋体"/>
          <w:szCs w:val="21"/>
        </w:rPr>
        <w:t>4）</w:t>
      </w:r>
      <w:r>
        <w:rPr>
          <w:rFonts w:ascii="宋体" w:hAnsi="宋体" w:hint="eastAsia"/>
          <w:szCs w:val="21"/>
        </w:rPr>
        <w:t xml:space="preserve"> </w:t>
      </w:r>
      <w:r w:rsidRPr="003B7610">
        <w:rPr>
          <w:rFonts w:ascii="宋体" w:hAnsi="宋体"/>
          <w:szCs w:val="21"/>
        </w:rPr>
        <w:t>新技术产生的大量独特单细胞数据的分析和挖掘。</w:t>
      </w:r>
    </w:p>
    <w:p w14:paraId="4689D7D6" w14:textId="66163DEA" w:rsidR="00F5604A" w:rsidRDefault="00F5604A">
      <w:pPr>
        <w:rPr>
          <w:rFonts w:ascii="宋体" w:hAnsi="宋体"/>
          <w:szCs w:val="21"/>
        </w:rPr>
      </w:pPr>
    </w:p>
    <w:p w14:paraId="3029027A" w14:textId="6DDC3522" w:rsidR="002B61E1" w:rsidRDefault="002B61E1">
      <w:pPr>
        <w:rPr>
          <w:rFonts w:ascii="宋体" w:hAnsi="宋体"/>
          <w:b/>
          <w:bCs/>
          <w:szCs w:val="21"/>
        </w:rPr>
      </w:pPr>
      <w:r w:rsidRPr="002B61E1">
        <w:rPr>
          <w:rFonts w:ascii="宋体" w:hAnsi="宋体" w:hint="eastAsia"/>
          <w:b/>
          <w:bCs/>
          <w:szCs w:val="21"/>
        </w:rPr>
        <w:t>加入我们</w:t>
      </w:r>
    </w:p>
    <w:p w14:paraId="4E0DC0A8" w14:textId="4D2EA4C0" w:rsidR="002B61E1" w:rsidRPr="002B61E1" w:rsidRDefault="002B61E1">
      <w:pPr>
        <w:rPr>
          <w:rFonts w:ascii="宋体" w:hAnsi="宋体" w:hint="eastAsia"/>
          <w:szCs w:val="21"/>
        </w:rPr>
      </w:pPr>
      <w:r w:rsidRPr="002B61E1">
        <w:rPr>
          <w:rFonts w:ascii="宋体" w:hAnsi="宋体"/>
          <w:szCs w:val="21"/>
        </w:rPr>
        <w:tab/>
      </w:r>
      <w:r w:rsidRPr="002B61E1">
        <w:rPr>
          <w:rFonts w:ascii="宋体" w:hAnsi="宋体" w:hint="eastAsia"/>
          <w:szCs w:val="21"/>
        </w:rPr>
        <w:t>课题组长期招募热爱探索和富有韧性的博士后、硕博士研究生、研究助理。</w:t>
      </w:r>
      <w:r>
        <w:rPr>
          <w:rFonts w:ascii="宋体" w:hAnsi="宋体" w:hint="eastAsia"/>
          <w:szCs w:val="21"/>
        </w:rPr>
        <w:t>有计算生物学、分子生物学、干细胞生物学或微流控其中一个背景更有利于工作的开展。</w:t>
      </w:r>
    </w:p>
    <w:p w14:paraId="731AA78F" w14:textId="77777777" w:rsidR="002B61E1" w:rsidRDefault="002B61E1">
      <w:pPr>
        <w:rPr>
          <w:rFonts w:ascii="宋体" w:hAnsi="宋体"/>
          <w:b/>
          <w:bCs/>
          <w:szCs w:val="21"/>
        </w:rPr>
      </w:pPr>
    </w:p>
    <w:p w14:paraId="37FE6C0D" w14:textId="3D2FB67D" w:rsidR="002B61E1" w:rsidRDefault="002B61E1" w:rsidP="002B61E1">
      <w:pPr>
        <w:ind w:firstLine="420"/>
        <w:rPr>
          <w:rFonts w:ascii="宋体" w:hAnsi="宋体"/>
          <w:bCs/>
          <w:szCs w:val="21"/>
        </w:rPr>
      </w:pPr>
      <w:r w:rsidRPr="000B6C44">
        <w:rPr>
          <w:rFonts w:ascii="宋体" w:hAnsi="宋体" w:hint="eastAsia"/>
          <w:szCs w:val="21"/>
        </w:rPr>
        <w:t>我们</w:t>
      </w:r>
      <w:r>
        <w:rPr>
          <w:rFonts w:ascii="宋体" w:hAnsi="宋体" w:hint="eastAsia"/>
          <w:szCs w:val="21"/>
        </w:rPr>
        <w:t>同样</w:t>
      </w:r>
      <w:r w:rsidRPr="000B6C44">
        <w:rPr>
          <w:rFonts w:ascii="宋体" w:hAnsi="宋体" w:hint="eastAsia"/>
          <w:szCs w:val="21"/>
        </w:rPr>
        <w:t>积极寻求</w:t>
      </w:r>
      <w:r>
        <w:rPr>
          <w:rFonts w:ascii="宋体" w:hAnsi="宋体" w:hint="eastAsia"/>
          <w:szCs w:val="21"/>
        </w:rPr>
        <w:t>和感兴趣的课题组</w:t>
      </w:r>
      <w:r w:rsidRPr="000B6C44">
        <w:rPr>
          <w:rFonts w:ascii="宋体" w:hAnsi="宋体" w:hint="eastAsia"/>
          <w:szCs w:val="21"/>
        </w:rPr>
        <w:t>联合培养博士生</w:t>
      </w:r>
      <w:r>
        <w:rPr>
          <w:rFonts w:ascii="宋体" w:hAnsi="宋体" w:hint="eastAsia"/>
          <w:szCs w:val="21"/>
        </w:rPr>
        <w:t>。</w:t>
      </w:r>
      <w:r w:rsidRPr="000B6C44">
        <w:rPr>
          <w:rFonts w:ascii="宋体" w:hAnsi="宋体" w:hint="eastAsia"/>
          <w:szCs w:val="21"/>
        </w:rPr>
        <w:t>联培博士生将得到</w:t>
      </w:r>
      <w:r>
        <w:rPr>
          <w:rFonts w:ascii="宋体" w:hAnsi="宋体" w:hint="eastAsia"/>
          <w:szCs w:val="21"/>
          <w:lang w:val="sv-SE"/>
        </w:rPr>
        <w:t>和中国科学院大学普通博士生同等的</w:t>
      </w:r>
      <w:r w:rsidRPr="000B6C44">
        <w:rPr>
          <w:rFonts w:ascii="宋体" w:hAnsi="宋体" w:hint="eastAsia"/>
          <w:bCs/>
          <w:szCs w:val="21"/>
        </w:rPr>
        <w:t>教育</w:t>
      </w:r>
      <w:r>
        <w:rPr>
          <w:rFonts w:ascii="宋体" w:hAnsi="宋体" w:hint="eastAsia"/>
          <w:bCs/>
          <w:szCs w:val="21"/>
        </w:rPr>
        <w:t>、</w:t>
      </w:r>
      <w:r w:rsidRPr="000B6C44">
        <w:rPr>
          <w:rFonts w:ascii="宋体" w:hAnsi="宋体" w:hint="eastAsia"/>
          <w:bCs/>
          <w:szCs w:val="21"/>
        </w:rPr>
        <w:t>科研</w:t>
      </w:r>
      <w:r>
        <w:rPr>
          <w:rFonts w:ascii="宋体" w:hAnsi="宋体" w:hint="eastAsia"/>
          <w:bCs/>
          <w:szCs w:val="21"/>
        </w:rPr>
        <w:t>和生活上的</w:t>
      </w:r>
      <w:r w:rsidRPr="000B6C44">
        <w:rPr>
          <w:rFonts w:ascii="宋体" w:hAnsi="宋体" w:hint="eastAsia"/>
          <w:bCs/>
          <w:szCs w:val="21"/>
        </w:rPr>
        <w:t>支持</w:t>
      </w:r>
      <w:r>
        <w:rPr>
          <w:rFonts w:ascii="宋体" w:hAnsi="宋体" w:hint="eastAsia"/>
          <w:bCs/>
          <w:szCs w:val="21"/>
        </w:rPr>
        <w:t>。</w:t>
      </w:r>
    </w:p>
    <w:p w14:paraId="108E603D" w14:textId="2ED358A9" w:rsidR="002B61E1" w:rsidRPr="002B61E1" w:rsidRDefault="002B61E1" w:rsidP="002B61E1">
      <w:pPr>
        <w:ind w:firstLine="420"/>
        <w:rPr>
          <w:rFonts w:ascii="宋体" w:hAnsi="宋体"/>
          <w:szCs w:val="21"/>
        </w:rPr>
      </w:pPr>
      <w:r>
        <w:rPr>
          <w:rFonts w:ascii="宋体" w:hAnsi="宋体" w:hint="eastAsia"/>
          <w:szCs w:val="21"/>
        </w:rPr>
        <w:t>联系方式：</w:t>
      </w:r>
      <w:r>
        <w:rPr>
          <w:rFonts w:ascii="宋体" w:hAnsi="宋体"/>
          <w:szCs w:val="21"/>
        </w:rPr>
        <w:fldChar w:fldCharType="begin"/>
      </w:r>
      <w:r>
        <w:rPr>
          <w:rFonts w:ascii="宋体" w:hAnsi="宋体"/>
          <w:szCs w:val="21"/>
        </w:rPr>
        <w:instrText xml:space="preserve"> </w:instrText>
      </w:r>
      <w:r>
        <w:rPr>
          <w:rFonts w:ascii="宋体" w:hAnsi="宋体" w:hint="eastAsia"/>
          <w:szCs w:val="21"/>
        </w:rPr>
        <w:instrText>HYPERLINK "mailto:wz</w:instrText>
      </w:r>
      <w:r>
        <w:rPr>
          <w:rFonts w:ascii="宋体" w:hAnsi="宋体"/>
          <w:szCs w:val="21"/>
        </w:rPr>
        <w:instrText>.chen@siat.ac.cn</w:instrText>
      </w:r>
      <w:r>
        <w:rPr>
          <w:rFonts w:ascii="宋体" w:hAnsi="宋体" w:hint="eastAsia"/>
          <w:szCs w:val="21"/>
        </w:rPr>
        <w:instrText>"</w:instrText>
      </w:r>
      <w:r>
        <w:rPr>
          <w:rFonts w:ascii="宋体" w:hAnsi="宋体"/>
          <w:szCs w:val="21"/>
        </w:rPr>
        <w:instrText xml:space="preserve"> </w:instrText>
      </w:r>
      <w:r>
        <w:rPr>
          <w:rFonts w:ascii="宋体" w:hAnsi="宋体"/>
          <w:szCs w:val="21"/>
        </w:rPr>
        <w:fldChar w:fldCharType="separate"/>
      </w:r>
      <w:r w:rsidRPr="002579BB">
        <w:rPr>
          <w:rStyle w:val="a3"/>
          <w:rFonts w:ascii="宋体" w:hAnsi="宋体" w:hint="eastAsia"/>
          <w:szCs w:val="21"/>
        </w:rPr>
        <w:t>wz</w:t>
      </w:r>
      <w:r w:rsidRPr="002579BB">
        <w:rPr>
          <w:rStyle w:val="a3"/>
          <w:rFonts w:ascii="宋体" w:hAnsi="宋体"/>
          <w:szCs w:val="21"/>
        </w:rPr>
        <w:t>.chen@siat.ac.cn</w:t>
      </w:r>
      <w:r>
        <w:rPr>
          <w:rFonts w:ascii="宋体" w:hAnsi="宋体"/>
          <w:szCs w:val="21"/>
        </w:rPr>
        <w:fldChar w:fldCharType="end"/>
      </w:r>
      <w:r>
        <w:rPr>
          <w:rFonts w:ascii="宋体" w:hAnsi="宋体"/>
          <w:szCs w:val="21"/>
        </w:rPr>
        <w:t xml:space="preserve"> </w:t>
      </w:r>
    </w:p>
    <w:p w14:paraId="0C58307A" w14:textId="77777777" w:rsidR="004065A0" w:rsidRDefault="004065A0" w:rsidP="004065A0">
      <w:pPr>
        <w:rPr>
          <w:b/>
          <w:bCs/>
        </w:rPr>
      </w:pPr>
    </w:p>
    <w:p w14:paraId="527DE73F" w14:textId="6C3E7E74" w:rsidR="004065A0" w:rsidRDefault="007D35EF" w:rsidP="00ED2C80">
      <w:pPr>
        <w:spacing w:after="240"/>
        <w:rPr>
          <w:b/>
          <w:bCs/>
        </w:rPr>
      </w:pPr>
      <w:r>
        <w:rPr>
          <w:rFonts w:hint="eastAsia"/>
          <w:b/>
          <w:bCs/>
        </w:rPr>
        <w:t>部分</w:t>
      </w:r>
      <w:r w:rsidR="004065A0">
        <w:rPr>
          <w:rFonts w:hint="eastAsia"/>
          <w:b/>
          <w:bCs/>
        </w:rPr>
        <w:t>发表文章</w:t>
      </w:r>
    </w:p>
    <w:p w14:paraId="5F044919" w14:textId="1DDD963B" w:rsidR="004065A0" w:rsidRPr="004065A0" w:rsidRDefault="004065A0" w:rsidP="006801F5">
      <w:pPr>
        <w:spacing w:afterLines="50" w:after="156"/>
        <w:jc w:val="left"/>
        <w:rPr>
          <w:rFonts w:ascii="Helvetica" w:hAnsi="Helvetica" w:hint="eastAsia"/>
          <w:sz w:val="20"/>
          <w:szCs w:val="20"/>
        </w:rPr>
      </w:pPr>
      <w:r w:rsidRPr="006801F5">
        <w:rPr>
          <w:rFonts w:ascii="Helvetica" w:hAnsi="Helvetica"/>
          <w:b/>
          <w:bCs/>
          <w:sz w:val="20"/>
          <w:szCs w:val="20"/>
        </w:rPr>
        <w:t>Chen, W.</w:t>
      </w:r>
      <w:r w:rsidR="006801F5">
        <w:rPr>
          <w:rFonts w:ascii="Helvetica" w:hAnsi="Helvetica"/>
          <w:b/>
          <w:bCs/>
          <w:sz w:val="20"/>
          <w:szCs w:val="20"/>
        </w:rPr>
        <w:t>*</w:t>
      </w:r>
      <w:r w:rsidRPr="004065A0">
        <w:rPr>
          <w:rFonts w:ascii="Helvetica" w:hAnsi="Helvetica"/>
          <w:sz w:val="20"/>
          <w:szCs w:val="20"/>
        </w:rPr>
        <w:t>, Guillaume-Gentil, O.</w:t>
      </w:r>
      <w:r w:rsidR="006801F5" w:rsidRPr="006801F5">
        <w:rPr>
          <w:rFonts w:ascii="Helvetica" w:hAnsi="Helvetica"/>
          <w:sz w:val="20"/>
          <w:szCs w:val="20"/>
        </w:rPr>
        <w:t>*</w:t>
      </w:r>
      <w:r w:rsidRPr="004065A0">
        <w:rPr>
          <w:rFonts w:ascii="Helvetica" w:hAnsi="Helvetica"/>
          <w:sz w:val="20"/>
          <w:szCs w:val="20"/>
        </w:rPr>
        <w:t xml:space="preserve">, Rainer, P. Y., </w:t>
      </w:r>
      <w:proofErr w:type="spellStart"/>
      <w:r w:rsidRPr="004065A0">
        <w:rPr>
          <w:rFonts w:ascii="Helvetica" w:hAnsi="Helvetica"/>
          <w:sz w:val="20"/>
          <w:szCs w:val="20"/>
        </w:rPr>
        <w:t>Gäbelein</w:t>
      </w:r>
      <w:proofErr w:type="spellEnd"/>
      <w:r w:rsidRPr="004065A0">
        <w:rPr>
          <w:rFonts w:ascii="Helvetica" w:hAnsi="Helvetica"/>
          <w:sz w:val="20"/>
          <w:szCs w:val="20"/>
        </w:rPr>
        <w:t xml:space="preserve">, C. G., </w:t>
      </w:r>
      <w:proofErr w:type="spellStart"/>
      <w:r w:rsidRPr="004065A0">
        <w:rPr>
          <w:rFonts w:ascii="Helvetica" w:hAnsi="Helvetica"/>
          <w:sz w:val="20"/>
          <w:szCs w:val="20"/>
        </w:rPr>
        <w:t>Saelens</w:t>
      </w:r>
      <w:proofErr w:type="spellEnd"/>
      <w:r w:rsidRPr="004065A0">
        <w:rPr>
          <w:rFonts w:ascii="Helvetica" w:hAnsi="Helvetica"/>
          <w:sz w:val="20"/>
          <w:szCs w:val="20"/>
        </w:rPr>
        <w:t xml:space="preserve">, W., </w:t>
      </w:r>
      <w:proofErr w:type="spellStart"/>
      <w:r w:rsidRPr="004065A0">
        <w:rPr>
          <w:rFonts w:ascii="Helvetica" w:hAnsi="Helvetica"/>
          <w:sz w:val="20"/>
          <w:szCs w:val="20"/>
        </w:rPr>
        <w:t>Gardeux</w:t>
      </w:r>
      <w:proofErr w:type="spellEnd"/>
      <w:r w:rsidRPr="004065A0">
        <w:rPr>
          <w:rFonts w:ascii="Helvetica" w:hAnsi="Helvetica"/>
          <w:sz w:val="20"/>
          <w:szCs w:val="20"/>
        </w:rPr>
        <w:t xml:space="preserve">, V., </w:t>
      </w:r>
      <w:proofErr w:type="spellStart"/>
      <w:r w:rsidRPr="004065A0">
        <w:rPr>
          <w:rFonts w:ascii="Helvetica" w:hAnsi="Helvetica"/>
          <w:sz w:val="20"/>
          <w:szCs w:val="20"/>
        </w:rPr>
        <w:t>Klaeger</w:t>
      </w:r>
      <w:proofErr w:type="spellEnd"/>
      <w:r w:rsidRPr="004065A0">
        <w:rPr>
          <w:rFonts w:ascii="Helvetica" w:hAnsi="Helvetica"/>
          <w:sz w:val="20"/>
          <w:szCs w:val="20"/>
        </w:rPr>
        <w:t xml:space="preserve">, A., </w:t>
      </w:r>
      <w:proofErr w:type="spellStart"/>
      <w:r w:rsidRPr="004065A0">
        <w:rPr>
          <w:rFonts w:ascii="Helvetica" w:hAnsi="Helvetica"/>
          <w:sz w:val="20"/>
          <w:szCs w:val="20"/>
        </w:rPr>
        <w:t>Dainese</w:t>
      </w:r>
      <w:proofErr w:type="spellEnd"/>
      <w:r w:rsidRPr="004065A0">
        <w:rPr>
          <w:rFonts w:ascii="Helvetica" w:hAnsi="Helvetica"/>
          <w:sz w:val="20"/>
          <w:szCs w:val="20"/>
        </w:rPr>
        <w:t xml:space="preserve">, R., </w:t>
      </w:r>
      <w:proofErr w:type="spellStart"/>
      <w:r w:rsidRPr="004065A0">
        <w:rPr>
          <w:rFonts w:ascii="Helvetica" w:hAnsi="Helvetica"/>
          <w:sz w:val="20"/>
          <w:szCs w:val="20"/>
        </w:rPr>
        <w:t>Zachara</w:t>
      </w:r>
      <w:proofErr w:type="spellEnd"/>
      <w:r w:rsidRPr="004065A0">
        <w:rPr>
          <w:rFonts w:ascii="Helvetica" w:hAnsi="Helvetica"/>
          <w:sz w:val="20"/>
          <w:szCs w:val="20"/>
        </w:rPr>
        <w:t xml:space="preserve">, M., </w:t>
      </w:r>
      <w:proofErr w:type="spellStart"/>
      <w:r w:rsidRPr="004065A0">
        <w:rPr>
          <w:rFonts w:ascii="Helvetica" w:hAnsi="Helvetica"/>
          <w:sz w:val="20"/>
          <w:szCs w:val="20"/>
        </w:rPr>
        <w:t>Zambelli</w:t>
      </w:r>
      <w:proofErr w:type="spellEnd"/>
      <w:r w:rsidRPr="004065A0">
        <w:rPr>
          <w:rFonts w:ascii="Helvetica" w:hAnsi="Helvetica"/>
          <w:sz w:val="20"/>
          <w:szCs w:val="20"/>
        </w:rPr>
        <w:t xml:space="preserve">, T., </w:t>
      </w:r>
      <w:proofErr w:type="spellStart"/>
      <w:r w:rsidRPr="004065A0">
        <w:rPr>
          <w:rFonts w:ascii="Helvetica" w:hAnsi="Helvetica"/>
          <w:sz w:val="20"/>
          <w:szCs w:val="20"/>
        </w:rPr>
        <w:t>Vorholt</w:t>
      </w:r>
      <w:proofErr w:type="spellEnd"/>
      <w:r w:rsidRPr="004065A0">
        <w:rPr>
          <w:rFonts w:ascii="Helvetica" w:hAnsi="Helvetica"/>
          <w:sz w:val="20"/>
          <w:szCs w:val="20"/>
        </w:rPr>
        <w:t>, J. A.</w:t>
      </w:r>
      <w:r w:rsidR="006801F5" w:rsidRPr="006801F5">
        <w:rPr>
          <w:rFonts w:ascii="Helvetica" w:hAnsi="Helvetica"/>
          <w:sz w:val="20"/>
          <w:szCs w:val="20"/>
        </w:rPr>
        <w:t>*</w:t>
      </w:r>
      <w:r w:rsidR="00ED2C80" w:rsidRPr="00ED2C80">
        <w:rPr>
          <w:rFonts w:ascii="Helvetica" w:hAnsi="Helvetica"/>
          <w:sz w:val="20"/>
          <w:szCs w:val="20"/>
          <w:vertAlign w:val="superscript"/>
        </w:rPr>
        <w:t>#</w:t>
      </w:r>
      <w:r w:rsidRPr="004065A0">
        <w:rPr>
          <w:rFonts w:ascii="Helvetica" w:hAnsi="Helvetica"/>
          <w:sz w:val="20"/>
          <w:szCs w:val="20"/>
        </w:rPr>
        <w:t xml:space="preserve"> &amp; </w:t>
      </w:r>
      <w:proofErr w:type="spellStart"/>
      <w:r w:rsidRPr="004065A0">
        <w:rPr>
          <w:rFonts w:ascii="Helvetica" w:hAnsi="Helvetica"/>
          <w:sz w:val="20"/>
          <w:szCs w:val="20"/>
        </w:rPr>
        <w:t>Deplancke</w:t>
      </w:r>
      <w:proofErr w:type="spellEnd"/>
      <w:r w:rsidRPr="004065A0">
        <w:rPr>
          <w:rFonts w:ascii="Helvetica" w:hAnsi="Helvetica"/>
          <w:sz w:val="20"/>
          <w:szCs w:val="20"/>
        </w:rPr>
        <w:t>, B.</w:t>
      </w:r>
      <w:r w:rsidR="006801F5" w:rsidRPr="006801F5">
        <w:rPr>
          <w:rFonts w:ascii="Helvetica" w:hAnsi="Helvetica"/>
          <w:sz w:val="20"/>
          <w:szCs w:val="20"/>
        </w:rPr>
        <w:t>*</w:t>
      </w:r>
      <w:r w:rsidR="00ED2C80" w:rsidRPr="00ED2C80">
        <w:rPr>
          <w:rFonts w:ascii="Helvetica" w:hAnsi="Helvetica"/>
          <w:sz w:val="20"/>
          <w:szCs w:val="20"/>
          <w:vertAlign w:val="superscript"/>
        </w:rPr>
        <w:t>#</w:t>
      </w:r>
      <w:r w:rsidRPr="004065A0">
        <w:rPr>
          <w:rFonts w:ascii="Helvetica" w:hAnsi="Helvetica"/>
          <w:sz w:val="20"/>
          <w:szCs w:val="20"/>
        </w:rPr>
        <w:t xml:space="preserve"> Live-seq enables temporal transcriptomic recording of single cells. </w:t>
      </w:r>
      <w:r w:rsidRPr="004065A0">
        <w:rPr>
          <w:rFonts w:ascii="Helvetica" w:hAnsi="Helvetica"/>
          <w:i/>
          <w:iCs/>
          <w:sz w:val="20"/>
          <w:szCs w:val="20"/>
        </w:rPr>
        <w:t>Nature</w:t>
      </w:r>
      <w:r w:rsidRPr="004065A0">
        <w:rPr>
          <w:rFonts w:ascii="Helvetica" w:hAnsi="Helvetica"/>
          <w:sz w:val="20"/>
          <w:szCs w:val="20"/>
        </w:rPr>
        <w:t xml:space="preserve"> 1–8 (2022). doi:</w:t>
      </w:r>
      <w:hyperlink r:id="rId4" w:history="1">
        <w:r w:rsidRPr="004065A0">
          <w:rPr>
            <w:rStyle w:val="a3"/>
            <w:rFonts w:ascii="Helvetica" w:hAnsi="Helvetica"/>
            <w:sz w:val="20"/>
            <w:szCs w:val="20"/>
          </w:rPr>
          <w:t>10.1038/s41586-022-05046-9</w:t>
        </w:r>
      </w:hyperlink>
    </w:p>
    <w:p w14:paraId="4275402A" w14:textId="2CB4E301" w:rsidR="004065A0" w:rsidRPr="004065A0" w:rsidRDefault="004065A0" w:rsidP="006801F5">
      <w:pPr>
        <w:widowControl/>
        <w:spacing w:afterLines="50" w:after="156"/>
        <w:jc w:val="left"/>
        <w:rPr>
          <w:rFonts w:ascii="Helvetica" w:hAnsi="Helvetica" w:cs="宋体"/>
          <w:kern w:val="0"/>
          <w:sz w:val="20"/>
          <w:szCs w:val="20"/>
        </w:rPr>
      </w:pPr>
      <w:r w:rsidRPr="004065A0">
        <w:rPr>
          <w:rFonts w:ascii="Helvetica" w:hAnsi="Helvetica" w:cs="宋体"/>
          <w:b/>
          <w:bCs/>
          <w:kern w:val="0"/>
          <w:sz w:val="20"/>
          <w:szCs w:val="20"/>
        </w:rPr>
        <w:t>Chen, W.</w:t>
      </w:r>
      <w:r w:rsidR="006801F5">
        <w:rPr>
          <w:rFonts w:ascii="Helvetica" w:hAnsi="Helvetica"/>
          <w:b/>
          <w:bCs/>
          <w:sz w:val="20"/>
          <w:szCs w:val="20"/>
        </w:rPr>
        <w:t>*</w:t>
      </w:r>
      <w:r w:rsidRPr="004065A0">
        <w:rPr>
          <w:rFonts w:ascii="Helvetica" w:hAnsi="Helvetica" w:cs="宋体"/>
          <w:kern w:val="0"/>
          <w:sz w:val="20"/>
          <w:szCs w:val="20"/>
        </w:rPr>
        <w:t xml:space="preserve">, </w:t>
      </w:r>
      <w:proofErr w:type="spellStart"/>
      <w:r w:rsidRPr="004065A0">
        <w:rPr>
          <w:rFonts w:ascii="Helvetica" w:hAnsi="Helvetica" w:cs="宋体"/>
          <w:kern w:val="0"/>
          <w:sz w:val="20"/>
          <w:szCs w:val="20"/>
        </w:rPr>
        <w:t>Schwalie</w:t>
      </w:r>
      <w:proofErr w:type="spellEnd"/>
      <w:r w:rsidRPr="004065A0">
        <w:rPr>
          <w:rFonts w:ascii="Helvetica" w:hAnsi="Helvetica" w:cs="宋体"/>
          <w:kern w:val="0"/>
          <w:sz w:val="20"/>
          <w:szCs w:val="20"/>
        </w:rPr>
        <w:t>, P. C.</w:t>
      </w:r>
      <w:r w:rsidR="006801F5" w:rsidRPr="006801F5">
        <w:rPr>
          <w:rFonts w:ascii="Helvetica" w:hAnsi="Helvetica"/>
          <w:sz w:val="20"/>
          <w:szCs w:val="20"/>
        </w:rPr>
        <w:t>*</w:t>
      </w:r>
      <w:r w:rsidRPr="004065A0">
        <w:rPr>
          <w:rFonts w:ascii="Helvetica" w:hAnsi="Helvetica" w:cs="宋体"/>
          <w:kern w:val="0"/>
          <w:sz w:val="20"/>
          <w:szCs w:val="20"/>
        </w:rPr>
        <w:t xml:space="preserve">, </w:t>
      </w:r>
      <w:proofErr w:type="spellStart"/>
      <w:r w:rsidRPr="004065A0">
        <w:rPr>
          <w:rFonts w:ascii="Helvetica" w:hAnsi="Helvetica" w:cs="宋体"/>
          <w:kern w:val="0"/>
          <w:sz w:val="20"/>
          <w:szCs w:val="20"/>
        </w:rPr>
        <w:t>Pankevich</w:t>
      </w:r>
      <w:proofErr w:type="spellEnd"/>
      <w:r w:rsidRPr="004065A0">
        <w:rPr>
          <w:rFonts w:ascii="Helvetica" w:hAnsi="Helvetica" w:cs="宋体"/>
          <w:kern w:val="0"/>
          <w:sz w:val="20"/>
          <w:szCs w:val="20"/>
        </w:rPr>
        <w:t xml:space="preserve">, E. V., </w:t>
      </w:r>
      <w:proofErr w:type="spellStart"/>
      <w:r w:rsidRPr="004065A0">
        <w:rPr>
          <w:rFonts w:ascii="Helvetica" w:hAnsi="Helvetica" w:cs="宋体"/>
          <w:kern w:val="0"/>
          <w:sz w:val="20"/>
          <w:szCs w:val="20"/>
        </w:rPr>
        <w:t>Gubelmann</w:t>
      </w:r>
      <w:proofErr w:type="spellEnd"/>
      <w:r w:rsidRPr="004065A0">
        <w:rPr>
          <w:rFonts w:ascii="Helvetica" w:hAnsi="Helvetica" w:cs="宋体"/>
          <w:kern w:val="0"/>
          <w:sz w:val="20"/>
          <w:szCs w:val="20"/>
        </w:rPr>
        <w:t xml:space="preserve">, C., Raghav, S. K., </w:t>
      </w:r>
      <w:proofErr w:type="spellStart"/>
      <w:r w:rsidRPr="004065A0">
        <w:rPr>
          <w:rFonts w:ascii="Helvetica" w:hAnsi="Helvetica" w:cs="宋体"/>
          <w:kern w:val="0"/>
          <w:sz w:val="20"/>
          <w:szCs w:val="20"/>
        </w:rPr>
        <w:t>Dainese</w:t>
      </w:r>
      <w:proofErr w:type="spellEnd"/>
      <w:r w:rsidRPr="004065A0">
        <w:rPr>
          <w:rFonts w:ascii="Helvetica" w:hAnsi="Helvetica" w:cs="宋体"/>
          <w:kern w:val="0"/>
          <w:sz w:val="20"/>
          <w:szCs w:val="20"/>
        </w:rPr>
        <w:t xml:space="preserve">, R., </w:t>
      </w:r>
      <w:proofErr w:type="spellStart"/>
      <w:r w:rsidRPr="004065A0">
        <w:rPr>
          <w:rFonts w:ascii="Helvetica" w:hAnsi="Helvetica" w:cs="宋体"/>
          <w:kern w:val="0"/>
          <w:sz w:val="20"/>
          <w:szCs w:val="20"/>
        </w:rPr>
        <w:t>Cassano</w:t>
      </w:r>
      <w:proofErr w:type="spellEnd"/>
      <w:r w:rsidRPr="004065A0">
        <w:rPr>
          <w:rFonts w:ascii="Helvetica" w:hAnsi="Helvetica" w:cs="宋体"/>
          <w:kern w:val="0"/>
          <w:sz w:val="20"/>
          <w:szCs w:val="20"/>
        </w:rPr>
        <w:t xml:space="preserve">, M., </w:t>
      </w:r>
      <w:proofErr w:type="spellStart"/>
      <w:r w:rsidRPr="004065A0">
        <w:rPr>
          <w:rFonts w:ascii="Helvetica" w:hAnsi="Helvetica" w:cs="宋体"/>
          <w:kern w:val="0"/>
          <w:sz w:val="20"/>
          <w:szCs w:val="20"/>
        </w:rPr>
        <w:t>Imbeault</w:t>
      </w:r>
      <w:proofErr w:type="spellEnd"/>
      <w:r w:rsidRPr="004065A0">
        <w:rPr>
          <w:rFonts w:ascii="Helvetica" w:hAnsi="Helvetica" w:cs="宋体"/>
          <w:kern w:val="0"/>
          <w:sz w:val="20"/>
          <w:szCs w:val="20"/>
        </w:rPr>
        <w:t xml:space="preserve">, M., Jang, S. M., </w:t>
      </w:r>
      <w:proofErr w:type="spellStart"/>
      <w:r w:rsidRPr="004065A0">
        <w:rPr>
          <w:rFonts w:ascii="Helvetica" w:hAnsi="Helvetica" w:cs="宋体"/>
          <w:kern w:val="0"/>
          <w:sz w:val="20"/>
          <w:szCs w:val="20"/>
        </w:rPr>
        <w:t>Russeil</w:t>
      </w:r>
      <w:proofErr w:type="spellEnd"/>
      <w:r w:rsidRPr="004065A0">
        <w:rPr>
          <w:rFonts w:ascii="Helvetica" w:hAnsi="Helvetica" w:cs="宋体"/>
          <w:kern w:val="0"/>
          <w:sz w:val="20"/>
          <w:szCs w:val="20"/>
        </w:rPr>
        <w:t xml:space="preserve">, J., </w:t>
      </w:r>
      <w:proofErr w:type="spellStart"/>
      <w:r w:rsidRPr="004065A0">
        <w:rPr>
          <w:rFonts w:ascii="Helvetica" w:hAnsi="Helvetica" w:cs="宋体"/>
          <w:kern w:val="0"/>
          <w:sz w:val="20"/>
          <w:szCs w:val="20"/>
        </w:rPr>
        <w:t>Delessa</w:t>
      </w:r>
      <w:proofErr w:type="spellEnd"/>
      <w:r w:rsidRPr="004065A0">
        <w:rPr>
          <w:rFonts w:ascii="Helvetica" w:hAnsi="Helvetica" w:cs="宋体"/>
          <w:kern w:val="0"/>
          <w:sz w:val="20"/>
          <w:szCs w:val="20"/>
        </w:rPr>
        <w:t xml:space="preserve">, T., Duc, J., </w:t>
      </w:r>
      <w:proofErr w:type="spellStart"/>
      <w:r w:rsidRPr="004065A0">
        <w:rPr>
          <w:rFonts w:ascii="Helvetica" w:hAnsi="Helvetica" w:cs="宋体"/>
          <w:kern w:val="0"/>
          <w:sz w:val="20"/>
          <w:szCs w:val="20"/>
        </w:rPr>
        <w:t>Trono</w:t>
      </w:r>
      <w:proofErr w:type="spellEnd"/>
      <w:r w:rsidRPr="004065A0">
        <w:rPr>
          <w:rFonts w:ascii="Helvetica" w:hAnsi="Helvetica" w:cs="宋体"/>
          <w:kern w:val="0"/>
          <w:sz w:val="20"/>
          <w:szCs w:val="20"/>
        </w:rPr>
        <w:t xml:space="preserve">, D., </w:t>
      </w:r>
      <w:proofErr w:type="spellStart"/>
      <w:r w:rsidRPr="004065A0">
        <w:rPr>
          <w:rFonts w:ascii="Helvetica" w:hAnsi="Helvetica" w:cs="宋体"/>
          <w:kern w:val="0"/>
          <w:sz w:val="20"/>
          <w:szCs w:val="20"/>
        </w:rPr>
        <w:t>Wolfrum</w:t>
      </w:r>
      <w:proofErr w:type="spellEnd"/>
      <w:r w:rsidRPr="004065A0">
        <w:rPr>
          <w:rFonts w:ascii="Helvetica" w:hAnsi="Helvetica" w:cs="宋体"/>
          <w:kern w:val="0"/>
          <w:sz w:val="20"/>
          <w:szCs w:val="20"/>
        </w:rPr>
        <w:t xml:space="preserve">, C. &amp; </w:t>
      </w:r>
      <w:proofErr w:type="spellStart"/>
      <w:r w:rsidRPr="004065A0">
        <w:rPr>
          <w:rFonts w:ascii="Helvetica" w:hAnsi="Helvetica" w:cs="宋体"/>
          <w:kern w:val="0"/>
          <w:sz w:val="20"/>
          <w:szCs w:val="20"/>
        </w:rPr>
        <w:t>Deplancke</w:t>
      </w:r>
      <w:proofErr w:type="spellEnd"/>
      <w:r w:rsidRPr="004065A0">
        <w:rPr>
          <w:rFonts w:ascii="Helvetica" w:hAnsi="Helvetica" w:cs="宋体"/>
          <w:kern w:val="0"/>
          <w:sz w:val="20"/>
          <w:szCs w:val="20"/>
        </w:rPr>
        <w:t xml:space="preserve">, B. ZFP30 promotes adipogenesis through the KAP1-mediated activation of a retrotransposon-derived Pparg2 enhancer. </w:t>
      </w:r>
      <w:r w:rsidRPr="004065A0">
        <w:rPr>
          <w:rFonts w:ascii="Helvetica" w:hAnsi="Helvetica" w:cs="宋体"/>
          <w:i/>
          <w:iCs/>
          <w:kern w:val="0"/>
          <w:sz w:val="20"/>
          <w:szCs w:val="20"/>
        </w:rPr>
        <w:t>Nature Communications</w:t>
      </w:r>
      <w:r w:rsidRPr="004065A0">
        <w:rPr>
          <w:rFonts w:ascii="Helvetica" w:hAnsi="Helvetica" w:cs="宋体"/>
          <w:kern w:val="0"/>
          <w:sz w:val="20"/>
          <w:szCs w:val="20"/>
        </w:rPr>
        <w:t xml:space="preserve"> </w:t>
      </w:r>
      <w:r w:rsidRPr="004065A0">
        <w:rPr>
          <w:rFonts w:ascii="Helvetica" w:hAnsi="Helvetica" w:cs="宋体"/>
          <w:b/>
          <w:bCs/>
          <w:kern w:val="0"/>
          <w:sz w:val="20"/>
          <w:szCs w:val="20"/>
        </w:rPr>
        <w:t>10,</w:t>
      </w:r>
      <w:r w:rsidRPr="004065A0">
        <w:rPr>
          <w:rFonts w:ascii="Helvetica" w:hAnsi="Helvetica" w:cs="宋体"/>
          <w:kern w:val="0"/>
          <w:sz w:val="20"/>
          <w:szCs w:val="20"/>
        </w:rPr>
        <w:t xml:space="preserve"> 1–16 (2019).</w:t>
      </w:r>
    </w:p>
    <w:p w14:paraId="15A1D984" w14:textId="6488713A" w:rsidR="007D35EF" w:rsidRPr="004065A0" w:rsidRDefault="007D35EF" w:rsidP="006801F5">
      <w:pPr>
        <w:widowControl/>
        <w:spacing w:afterLines="50" w:after="156"/>
        <w:jc w:val="left"/>
        <w:rPr>
          <w:rFonts w:ascii="Helvetica" w:hAnsi="Helvetica" w:cs="宋体"/>
          <w:kern w:val="0"/>
          <w:sz w:val="20"/>
          <w:szCs w:val="20"/>
        </w:rPr>
      </w:pPr>
      <w:r w:rsidRPr="007D35EF">
        <w:rPr>
          <w:rFonts w:ascii="Helvetica" w:hAnsi="Helvetica" w:cs="宋体" w:hint="eastAsia"/>
          <w:b/>
          <w:bCs/>
          <w:kern w:val="0"/>
          <w:sz w:val="20"/>
          <w:szCs w:val="20"/>
        </w:rPr>
        <w:lastRenderedPageBreak/>
        <w:t>Chen, W.</w:t>
      </w:r>
      <w:r w:rsidRPr="007D35EF">
        <w:rPr>
          <w:rFonts w:ascii="Helvetica" w:hAnsi="Helvetica" w:cs="宋体" w:hint="eastAsia"/>
          <w:kern w:val="0"/>
          <w:sz w:val="20"/>
          <w:szCs w:val="20"/>
        </w:rPr>
        <w:t xml:space="preserve">, </w:t>
      </w:r>
      <w:proofErr w:type="spellStart"/>
      <w:r w:rsidRPr="007D35EF">
        <w:rPr>
          <w:rFonts w:ascii="Helvetica" w:hAnsi="Helvetica" w:cs="宋体" w:hint="eastAsia"/>
          <w:kern w:val="0"/>
          <w:sz w:val="20"/>
          <w:szCs w:val="20"/>
        </w:rPr>
        <w:t>Gardeux</w:t>
      </w:r>
      <w:proofErr w:type="spellEnd"/>
      <w:r w:rsidRPr="007D35EF">
        <w:rPr>
          <w:rFonts w:ascii="Helvetica" w:hAnsi="Helvetica" w:cs="宋体" w:hint="eastAsia"/>
          <w:kern w:val="0"/>
          <w:sz w:val="20"/>
          <w:szCs w:val="20"/>
        </w:rPr>
        <w:t xml:space="preserve">, V., </w:t>
      </w:r>
      <w:proofErr w:type="spellStart"/>
      <w:r w:rsidRPr="007D35EF">
        <w:rPr>
          <w:rFonts w:ascii="Helvetica" w:hAnsi="Helvetica" w:cs="宋体" w:hint="eastAsia"/>
          <w:kern w:val="0"/>
          <w:sz w:val="20"/>
          <w:szCs w:val="20"/>
        </w:rPr>
        <w:t>Meireles</w:t>
      </w:r>
      <w:proofErr w:type="spellEnd"/>
      <w:r w:rsidRPr="007D35EF">
        <w:rPr>
          <w:rFonts w:ascii="Helvetica" w:hAnsi="Helvetica" w:cs="宋体" w:hint="eastAsia"/>
          <w:kern w:val="0"/>
          <w:sz w:val="20"/>
          <w:szCs w:val="20"/>
        </w:rPr>
        <w:t>‐</w:t>
      </w:r>
      <w:r w:rsidRPr="007D35EF">
        <w:rPr>
          <w:rFonts w:ascii="Helvetica" w:hAnsi="Helvetica" w:cs="宋体" w:hint="eastAsia"/>
          <w:kern w:val="0"/>
          <w:sz w:val="20"/>
          <w:szCs w:val="20"/>
        </w:rPr>
        <w:t xml:space="preserve">Filho, A. &amp; </w:t>
      </w:r>
      <w:proofErr w:type="spellStart"/>
      <w:r w:rsidRPr="007D35EF">
        <w:rPr>
          <w:rFonts w:ascii="Helvetica" w:hAnsi="Helvetica" w:cs="宋体" w:hint="eastAsia"/>
          <w:kern w:val="0"/>
          <w:sz w:val="20"/>
          <w:szCs w:val="20"/>
        </w:rPr>
        <w:t>Deplancke</w:t>
      </w:r>
      <w:proofErr w:type="spellEnd"/>
      <w:r w:rsidRPr="007D35EF">
        <w:rPr>
          <w:rFonts w:ascii="Helvetica" w:hAnsi="Helvetica" w:cs="宋体" w:hint="eastAsia"/>
          <w:kern w:val="0"/>
          <w:sz w:val="20"/>
          <w:szCs w:val="20"/>
        </w:rPr>
        <w:t>, B. Profiling of Single</w:t>
      </w:r>
      <w:r w:rsidRPr="007D35EF">
        <w:rPr>
          <w:rFonts w:ascii="Helvetica" w:hAnsi="Helvetica" w:cs="宋体" w:hint="eastAsia"/>
          <w:kern w:val="0"/>
          <w:sz w:val="20"/>
          <w:szCs w:val="20"/>
        </w:rPr>
        <w:t>‐</w:t>
      </w:r>
      <w:r w:rsidRPr="007D35EF">
        <w:rPr>
          <w:rFonts w:ascii="Helvetica" w:hAnsi="Helvetica" w:cs="宋体" w:hint="eastAsia"/>
          <w:kern w:val="0"/>
          <w:sz w:val="20"/>
          <w:szCs w:val="20"/>
        </w:rPr>
        <w:t>Cell Transcriptomes. Current Protocols in Mouse Biology 7, 145</w:t>
      </w:r>
      <w:r w:rsidRPr="007D35EF">
        <w:rPr>
          <w:rFonts w:ascii="Helvetica" w:hAnsi="Helvetica" w:cs="宋体" w:hint="eastAsia"/>
          <w:kern w:val="0"/>
          <w:sz w:val="20"/>
          <w:szCs w:val="20"/>
        </w:rPr>
        <w:t>–</w:t>
      </w:r>
      <w:r w:rsidRPr="007D35EF">
        <w:rPr>
          <w:rFonts w:ascii="Helvetica" w:hAnsi="Helvetica" w:cs="宋体" w:hint="eastAsia"/>
          <w:kern w:val="0"/>
          <w:sz w:val="20"/>
          <w:szCs w:val="20"/>
        </w:rPr>
        <w:t>175 (2017).</w:t>
      </w:r>
    </w:p>
    <w:p w14:paraId="3DD0C2D1" w14:textId="77777777" w:rsidR="004065A0" w:rsidRPr="004065A0" w:rsidRDefault="004065A0" w:rsidP="006801F5">
      <w:pPr>
        <w:widowControl/>
        <w:spacing w:afterLines="50" w:after="156"/>
        <w:jc w:val="left"/>
        <w:rPr>
          <w:rFonts w:ascii="Helvetica" w:hAnsi="Helvetica" w:cs="宋体"/>
          <w:kern w:val="0"/>
          <w:sz w:val="20"/>
          <w:szCs w:val="20"/>
        </w:rPr>
      </w:pPr>
      <w:r w:rsidRPr="004065A0">
        <w:rPr>
          <w:rFonts w:ascii="Helvetica" w:hAnsi="Helvetica" w:cs="宋体"/>
          <w:b/>
          <w:bCs/>
          <w:kern w:val="0"/>
          <w:sz w:val="20"/>
          <w:szCs w:val="20"/>
        </w:rPr>
        <w:t>Chen, W.</w:t>
      </w:r>
      <w:r w:rsidRPr="004065A0">
        <w:rPr>
          <w:rFonts w:ascii="Helvetica" w:hAnsi="Helvetica" w:cs="宋体"/>
          <w:kern w:val="0"/>
          <w:sz w:val="20"/>
          <w:szCs w:val="20"/>
        </w:rPr>
        <w:t xml:space="preserve">, Wu, J., Li, L., Zhang, Z., Ren, J., Liang, Y., Chen, F., Yang, C., Zhou, Z., Sean </w:t>
      </w:r>
      <w:proofErr w:type="spellStart"/>
      <w:r w:rsidRPr="004065A0">
        <w:rPr>
          <w:rFonts w:ascii="Helvetica" w:hAnsi="Helvetica" w:cs="宋体"/>
          <w:kern w:val="0"/>
          <w:sz w:val="20"/>
          <w:szCs w:val="20"/>
        </w:rPr>
        <w:t>Su</w:t>
      </w:r>
      <w:proofErr w:type="spellEnd"/>
      <w:r w:rsidRPr="004065A0">
        <w:rPr>
          <w:rFonts w:ascii="Helvetica" w:hAnsi="Helvetica" w:cs="宋体"/>
          <w:kern w:val="0"/>
          <w:sz w:val="20"/>
          <w:szCs w:val="20"/>
        </w:rPr>
        <w:t xml:space="preserve">, S., Zheng, X., Zhang, Z., Zhong, C.-Q., Wan, H., Xiao, M., Lin, X., Feng, X.-H. &amp; Han, J. Ppm1b negatively regulates necroptosis through dephosphorylating Rip3. </w:t>
      </w:r>
      <w:r w:rsidRPr="004065A0">
        <w:rPr>
          <w:rFonts w:ascii="Helvetica" w:hAnsi="Helvetica" w:cs="宋体"/>
          <w:i/>
          <w:iCs/>
          <w:kern w:val="0"/>
          <w:sz w:val="20"/>
          <w:szCs w:val="20"/>
        </w:rPr>
        <w:t>Nature Cell Biology</w:t>
      </w:r>
      <w:r w:rsidRPr="004065A0">
        <w:rPr>
          <w:rFonts w:ascii="Helvetica" w:hAnsi="Helvetica" w:cs="宋体"/>
          <w:kern w:val="0"/>
          <w:sz w:val="20"/>
          <w:szCs w:val="20"/>
        </w:rPr>
        <w:t xml:space="preserve"> </w:t>
      </w:r>
      <w:r w:rsidRPr="004065A0">
        <w:rPr>
          <w:rFonts w:ascii="Helvetica" w:hAnsi="Helvetica" w:cs="宋体"/>
          <w:b/>
          <w:bCs/>
          <w:kern w:val="0"/>
          <w:sz w:val="20"/>
          <w:szCs w:val="20"/>
        </w:rPr>
        <w:t>17,</w:t>
      </w:r>
      <w:r w:rsidRPr="004065A0">
        <w:rPr>
          <w:rFonts w:ascii="Helvetica" w:hAnsi="Helvetica" w:cs="宋体"/>
          <w:kern w:val="0"/>
          <w:sz w:val="20"/>
          <w:szCs w:val="20"/>
        </w:rPr>
        <w:t xml:space="preserve"> 434–444 (2015).</w:t>
      </w:r>
    </w:p>
    <w:p w14:paraId="44233691" w14:textId="4486385A" w:rsidR="004065A0" w:rsidRPr="004065A0" w:rsidRDefault="004065A0" w:rsidP="006801F5">
      <w:pPr>
        <w:widowControl/>
        <w:spacing w:afterLines="50" w:after="156"/>
        <w:jc w:val="left"/>
        <w:rPr>
          <w:rFonts w:ascii="Helvetica" w:hAnsi="Helvetica" w:cs="宋体"/>
          <w:kern w:val="0"/>
          <w:sz w:val="20"/>
          <w:szCs w:val="20"/>
        </w:rPr>
      </w:pPr>
      <w:r w:rsidRPr="004065A0">
        <w:rPr>
          <w:rFonts w:ascii="Helvetica" w:hAnsi="Helvetica" w:cs="宋体"/>
          <w:kern w:val="0"/>
          <w:sz w:val="20"/>
          <w:szCs w:val="20"/>
        </w:rPr>
        <w:t>Li, L.</w:t>
      </w:r>
      <w:r w:rsidR="006801F5" w:rsidRPr="006801F5">
        <w:rPr>
          <w:rFonts w:ascii="Helvetica" w:hAnsi="Helvetica"/>
          <w:sz w:val="20"/>
          <w:szCs w:val="20"/>
        </w:rPr>
        <w:t>*</w:t>
      </w:r>
      <w:r w:rsidRPr="004065A0">
        <w:rPr>
          <w:rFonts w:ascii="Helvetica" w:hAnsi="Helvetica" w:cs="宋体"/>
          <w:kern w:val="0"/>
          <w:sz w:val="20"/>
          <w:szCs w:val="20"/>
        </w:rPr>
        <w:t xml:space="preserve">, </w:t>
      </w:r>
      <w:r w:rsidRPr="004065A0">
        <w:rPr>
          <w:rFonts w:ascii="Helvetica" w:hAnsi="Helvetica" w:cs="宋体"/>
          <w:b/>
          <w:bCs/>
          <w:kern w:val="0"/>
          <w:sz w:val="20"/>
          <w:szCs w:val="20"/>
        </w:rPr>
        <w:t>Chen, W.</w:t>
      </w:r>
      <w:r w:rsidR="006801F5">
        <w:rPr>
          <w:rFonts w:ascii="Helvetica" w:hAnsi="Helvetica"/>
          <w:b/>
          <w:bCs/>
          <w:sz w:val="20"/>
          <w:szCs w:val="20"/>
        </w:rPr>
        <w:t>*</w:t>
      </w:r>
      <w:r w:rsidRPr="004065A0">
        <w:rPr>
          <w:rFonts w:ascii="Helvetica" w:hAnsi="Helvetica" w:cs="宋体"/>
          <w:kern w:val="0"/>
          <w:sz w:val="20"/>
          <w:szCs w:val="20"/>
        </w:rPr>
        <w:t>, Liang, Y.</w:t>
      </w:r>
      <w:r w:rsidR="006801F5" w:rsidRPr="006801F5">
        <w:rPr>
          <w:rFonts w:ascii="Helvetica" w:hAnsi="Helvetica"/>
          <w:sz w:val="20"/>
          <w:szCs w:val="20"/>
        </w:rPr>
        <w:t>*</w:t>
      </w:r>
      <w:r w:rsidRPr="004065A0">
        <w:rPr>
          <w:rFonts w:ascii="Helvetica" w:hAnsi="Helvetica" w:cs="宋体"/>
          <w:kern w:val="0"/>
          <w:sz w:val="20"/>
          <w:szCs w:val="20"/>
        </w:rPr>
        <w:t>, Ma, H., Li, W., Zhou, Z., Li, J., Ding, Y., Ren, J., Lin, J., Han, F., Wu, J. &amp; Han, J. The Gβγ-</w:t>
      </w:r>
      <w:proofErr w:type="spellStart"/>
      <w:r w:rsidRPr="004065A0">
        <w:rPr>
          <w:rFonts w:ascii="Helvetica" w:hAnsi="Helvetica" w:cs="宋体"/>
          <w:kern w:val="0"/>
          <w:sz w:val="20"/>
          <w:szCs w:val="20"/>
        </w:rPr>
        <w:t>Src</w:t>
      </w:r>
      <w:proofErr w:type="spellEnd"/>
      <w:r w:rsidRPr="004065A0">
        <w:rPr>
          <w:rFonts w:ascii="Helvetica" w:hAnsi="Helvetica" w:cs="宋体"/>
          <w:kern w:val="0"/>
          <w:sz w:val="20"/>
          <w:szCs w:val="20"/>
        </w:rPr>
        <w:t xml:space="preserve"> signaling pathway regulates TNF-induced necroptosis via control of necrosome translocation. </w:t>
      </w:r>
      <w:r w:rsidRPr="004065A0">
        <w:rPr>
          <w:rFonts w:ascii="Helvetica" w:hAnsi="Helvetica" w:cs="宋体"/>
          <w:i/>
          <w:iCs/>
          <w:kern w:val="0"/>
          <w:sz w:val="20"/>
          <w:szCs w:val="20"/>
        </w:rPr>
        <w:t>Cell Research</w:t>
      </w:r>
      <w:r w:rsidRPr="004065A0">
        <w:rPr>
          <w:rFonts w:ascii="Helvetica" w:hAnsi="Helvetica" w:cs="宋体"/>
          <w:kern w:val="0"/>
          <w:sz w:val="20"/>
          <w:szCs w:val="20"/>
        </w:rPr>
        <w:t xml:space="preserve"> </w:t>
      </w:r>
      <w:r w:rsidRPr="004065A0">
        <w:rPr>
          <w:rFonts w:ascii="Helvetica" w:hAnsi="Helvetica" w:cs="宋体"/>
          <w:b/>
          <w:bCs/>
          <w:kern w:val="0"/>
          <w:sz w:val="20"/>
          <w:szCs w:val="20"/>
        </w:rPr>
        <w:t>24,</w:t>
      </w:r>
      <w:r w:rsidRPr="004065A0">
        <w:rPr>
          <w:rFonts w:ascii="Helvetica" w:hAnsi="Helvetica" w:cs="宋体"/>
          <w:kern w:val="0"/>
          <w:sz w:val="20"/>
          <w:szCs w:val="20"/>
        </w:rPr>
        <w:t xml:space="preserve"> 417–432 (2014).</w:t>
      </w:r>
    </w:p>
    <w:p w14:paraId="28ABDC13" w14:textId="2D0E5B28" w:rsidR="004065A0" w:rsidRPr="00ED2C80" w:rsidRDefault="004065A0" w:rsidP="00ED2C80">
      <w:pPr>
        <w:widowControl/>
        <w:spacing w:afterLines="50" w:after="156"/>
        <w:jc w:val="left"/>
        <w:rPr>
          <w:rFonts w:ascii="Helvetica" w:hAnsi="Helvetica" w:cs="宋体" w:hint="eastAsia"/>
          <w:kern w:val="0"/>
          <w:sz w:val="20"/>
          <w:szCs w:val="20"/>
        </w:rPr>
      </w:pPr>
      <w:r w:rsidRPr="004065A0">
        <w:rPr>
          <w:rFonts w:ascii="Helvetica" w:hAnsi="Helvetica" w:cs="宋体"/>
          <w:b/>
          <w:bCs/>
          <w:kern w:val="0"/>
          <w:sz w:val="20"/>
          <w:szCs w:val="20"/>
        </w:rPr>
        <w:t>Chen, W.</w:t>
      </w:r>
      <w:r w:rsidR="006801F5" w:rsidRPr="007D35EF">
        <w:rPr>
          <w:rFonts w:ascii="Helvetica" w:hAnsi="Helvetica"/>
          <w:b/>
          <w:bCs/>
          <w:sz w:val="20"/>
          <w:szCs w:val="20"/>
        </w:rPr>
        <w:t>*</w:t>
      </w:r>
      <w:r w:rsidRPr="004065A0">
        <w:rPr>
          <w:rFonts w:ascii="Helvetica" w:hAnsi="Helvetica" w:cs="宋体"/>
          <w:kern w:val="0"/>
          <w:sz w:val="20"/>
          <w:szCs w:val="20"/>
        </w:rPr>
        <w:t>, Zhou, Z.</w:t>
      </w:r>
      <w:r w:rsidR="006801F5" w:rsidRPr="006801F5">
        <w:rPr>
          <w:rFonts w:ascii="Helvetica" w:hAnsi="Helvetica"/>
          <w:sz w:val="20"/>
          <w:szCs w:val="20"/>
        </w:rPr>
        <w:t xml:space="preserve"> </w:t>
      </w:r>
      <w:r w:rsidR="006801F5" w:rsidRPr="006801F5">
        <w:rPr>
          <w:rFonts w:ascii="Helvetica" w:hAnsi="Helvetica"/>
          <w:sz w:val="20"/>
          <w:szCs w:val="20"/>
        </w:rPr>
        <w:t>*</w:t>
      </w:r>
      <w:r w:rsidRPr="004065A0">
        <w:rPr>
          <w:rFonts w:ascii="Helvetica" w:hAnsi="Helvetica" w:cs="宋体"/>
          <w:kern w:val="0"/>
          <w:sz w:val="20"/>
          <w:szCs w:val="20"/>
        </w:rPr>
        <w:t>, Li, L.</w:t>
      </w:r>
      <w:r w:rsidR="006801F5" w:rsidRPr="006801F5">
        <w:rPr>
          <w:rFonts w:ascii="Helvetica" w:hAnsi="Helvetica"/>
          <w:sz w:val="20"/>
          <w:szCs w:val="20"/>
        </w:rPr>
        <w:t>*</w:t>
      </w:r>
      <w:r w:rsidRPr="004065A0">
        <w:rPr>
          <w:rFonts w:ascii="Helvetica" w:hAnsi="Helvetica" w:cs="宋体"/>
          <w:kern w:val="0"/>
          <w:sz w:val="20"/>
          <w:szCs w:val="20"/>
        </w:rPr>
        <w:t xml:space="preserve">, Zhong, C.-Q., Zheng, X., Wu, X., Zhang, Y., Ma, H., Huang, D., Li, W., Xia, Z. &amp; Han, J. Diverse Sequence Determinants Control Human and Mouse Receptor Interacting Protein 3 (RIP3) and Mixed Lineage Kinase </w:t>
      </w:r>
      <w:proofErr w:type="gramStart"/>
      <w:r w:rsidRPr="004065A0">
        <w:rPr>
          <w:rFonts w:ascii="Helvetica" w:hAnsi="Helvetica" w:cs="宋体"/>
          <w:kern w:val="0"/>
          <w:sz w:val="20"/>
          <w:szCs w:val="20"/>
        </w:rPr>
        <w:t>domain</w:t>
      </w:r>
      <w:proofErr w:type="gramEnd"/>
      <w:r w:rsidRPr="004065A0">
        <w:rPr>
          <w:rFonts w:ascii="Helvetica" w:hAnsi="Helvetica" w:cs="宋体"/>
          <w:kern w:val="0"/>
          <w:sz w:val="20"/>
          <w:szCs w:val="20"/>
        </w:rPr>
        <w:t xml:space="preserve">-Like (MLKL) Interaction in Necroptotic Signaling. </w:t>
      </w:r>
      <w:r w:rsidRPr="004065A0">
        <w:rPr>
          <w:rFonts w:ascii="Helvetica" w:hAnsi="Helvetica" w:cs="宋体"/>
          <w:i/>
          <w:iCs/>
          <w:kern w:val="0"/>
          <w:sz w:val="20"/>
          <w:szCs w:val="20"/>
        </w:rPr>
        <w:t>J. Biol. Chem.</w:t>
      </w:r>
      <w:r w:rsidRPr="004065A0">
        <w:rPr>
          <w:rFonts w:ascii="Helvetica" w:hAnsi="Helvetica" w:cs="宋体"/>
          <w:kern w:val="0"/>
          <w:sz w:val="20"/>
          <w:szCs w:val="20"/>
        </w:rPr>
        <w:t xml:space="preserve"> </w:t>
      </w:r>
      <w:r w:rsidRPr="004065A0">
        <w:rPr>
          <w:rFonts w:ascii="Helvetica" w:hAnsi="Helvetica" w:cs="宋体"/>
          <w:b/>
          <w:bCs/>
          <w:kern w:val="0"/>
          <w:sz w:val="20"/>
          <w:szCs w:val="20"/>
        </w:rPr>
        <w:t>288,</w:t>
      </w:r>
      <w:r w:rsidRPr="004065A0">
        <w:rPr>
          <w:rFonts w:ascii="Helvetica" w:hAnsi="Helvetica" w:cs="宋体"/>
          <w:kern w:val="0"/>
          <w:sz w:val="20"/>
          <w:szCs w:val="20"/>
        </w:rPr>
        <w:t xml:space="preserve"> 16247–16261 (2013).</w:t>
      </w:r>
    </w:p>
    <w:p w14:paraId="16E8EDB1" w14:textId="6A00BE96" w:rsidR="00ED2C80" w:rsidRDefault="00ED2C80" w:rsidP="004065A0">
      <w:pPr>
        <w:rPr>
          <w:b/>
          <w:bCs/>
        </w:rPr>
      </w:pPr>
      <w:r>
        <w:rPr>
          <w:rFonts w:hint="eastAsia"/>
          <w:b/>
          <w:bCs/>
        </w:rPr>
        <w:t>（注：</w:t>
      </w:r>
      <w:r>
        <w:rPr>
          <w:rFonts w:ascii="Helvetica" w:hAnsi="Helvetica"/>
          <w:b/>
          <w:bCs/>
          <w:sz w:val="20"/>
          <w:szCs w:val="20"/>
        </w:rPr>
        <w:t>*</w:t>
      </w:r>
      <w:r>
        <w:rPr>
          <w:rFonts w:ascii="Helvetica" w:hAnsi="Helvetica" w:hint="eastAsia"/>
          <w:b/>
          <w:bCs/>
          <w:sz w:val="20"/>
          <w:szCs w:val="20"/>
        </w:rPr>
        <w:t>共同一作，</w:t>
      </w:r>
      <w:r w:rsidRPr="00ED2C80">
        <w:rPr>
          <w:rFonts w:ascii="Helvetica" w:hAnsi="Helvetica" w:hint="eastAsia"/>
          <w:b/>
          <w:bCs/>
          <w:sz w:val="20"/>
          <w:szCs w:val="20"/>
          <w:vertAlign w:val="superscript"/>
        </w:rPr>
        <w:t>#</w:t>
      </w:r>
      <w:r>
        <w:rPr>
          <w:rFonts w:hint="eastAsia"/>
          <w:b/>
          <w:bCs/>
        </w:rPr>
        <w:t>共同通讯）</w:t>
      </w:r>
    </w:p>
    <w:p w14:paraId="2BD14697" w14:textId="77777777" w:rsidR="00ED2C80" w:rsidRDefault="00ED2C80" w:rsidP="004065A0">
      <w:pPr>
        <w:rPr>
          <w:b/>
          <w:bCs/>
        </w:rPr>
      </w:pPr>
      <w:r>
        <w:rPr>
          <w:rFonts w:hint="eastAsia"/>
          <w:b/>
          <w:bCs/>
        </w:rPr>
        <w:t>全列表见</w:t>
      </w:r>
      <w:r w:rsidR="004065A0">
        <w:rPr>
          <w:rFonts w:hint="eastAsia"/>
          <w:b/>
          <w:bCs/>
        </w:rPr>
        <w:t>Goo</w:t>
      </w:r>
      <w:r w:rsidR="004065A0">
        <w:rPr>
          <w:b/>
          <w:bCs/>
        </w:rPr>
        <w:t>gle scholar</w:t>
      </w:r>
      <w:r>
        <w:rPr>
          <w:rFonts w:hint="eastAsia"/>
          <w:b/>
          <w:bCs/>
        </w:rPr>
        <w:t>：</w:t>
      </w:r>
    </w:p>
    <w:p w14:paraId="2F7A9152" w14:textId="65A535F4" w:rsidR="004065A0" w:rsidRDefault="00ED2C80" w:rsidP="004065A0">
      <w:pPr>
        <w:rPr>
          <w:b/>
          <w:bCs/>
        </w:rPr>
      </w:pPr>
      <w:hyperlink r:id="rId5" w:history="1">
        <w:r w:rsidRPr="002579BB">
          <w:rPr>
            <w:rStyle w:val="a3"/>
            <w:b/>
            <w:bCs/>
          </w:rPr>
          <w:t>https://scholar.google.com/citations?view_op=list_works&amp;hl=en&amp;hl=en&amp;user=iM7Db-wAAAAJ&amp;sortby=pubdate</w:t>
        </w:r>
      </w:hyperlink>
    </w:p>
    <w:p w14:paraId="2CE54DF7" w14:textId="77777777" w:rsidR="00ED2C80" w:rsidRPr="00ED2C80" w:rsidRDefault="00ED2C80" w:rsidP="004065A0">
      <w:pPr>
        <w:rPr>
          <w:rFonts w:hint="eastAsia"/>
          <w:b/>
          <w:bCs/>
        </w:rPr>
      </w:pPr>
    </w:p>
    <w:p w14:paraId="05019B14" w14:textId="77777777" w:rsidR="004065A0" w:rsidRPr="00ED2C80" w:rsidRDefault="004065A0" w:rsidP="004065A0">
      <w:pPr>
        <w:rPr>
          <w:b/>
          <w:bCs/>
        </w:rPr>
      </w:pPr>
    </w:p>
    <w:p w14:paraId="36C3B165" w14:textId="77777777" w:rsidR="004065A0" w:rsidRPr="002B61E1" w:rsidRDefault="004065A0" w:rsidP="004065A0">
      <w:pPr>
        <w:rPr>
          <w:rFonts w:hint="eastAsia"/>
          <w:b/>
          <w:bCs/>
        </w:rPr>
      </w:pPr>
    </w:p>
    <w:sectPr w:rsidR="004065A0" w:rsidRPr="002B61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E1"/>
    <w:rsid w:val="002B61E1"/>
    <w:rsid w:val="004065A0"/>
    <w:rsid w:val="006801F5"/>
    <w:rsid w:val="006D1555"/>
    <w:rsid w:val="00784651"/>
    <w:rsid w:val="007D35EF"/>
    <w:rsid w:val="00864CEC"/>
    <w:rsid w:val="009E1530"/>
    <w:rsid w:val="00E96DBC"/>
    <w:rsid w:val="00ED2C80"/>
    <w:rsid w:val="00F56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3BB9A45"/>
  <w15:chartTrackingRefBased/>
  <w15:docId w15:val="{ED7B46B2-35E1-FE4B-9E0A-D68716AA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1E1"/>
    <w:pPr>
      <w:widowControl w:val="0"/>
      <w:jc w:val="both"/>
    </w:pPr>
    <w:rPr>
      <w:rFonts w:ascii="Calibri" w:eastAsia="宋体" w:hAnsi="Calibri" w:cs="Times New Roman"/>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61E1"/>
    <w:rPr>
      <w:color w:val="0563C1" w:themeColor="hyperlink"/>
      <w:u w:val="single"/>
    </w:rPr>
  </w:style>
  <w:style w:type="character" w:styleId="a4">
    <w:name w:val="Unresolved Mention"/>
    <w:basedOn w:val="a0"/>
    <w:uiPriority w:val="99"/>
    <w:semiHidden/>
    <w:unhideWhenUsed/>
    <w:rsid w:val="002B6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836035">
      <w:bodyDiv w:val="1"/>
      <w:marLeft w:val="0"/>
      <w:marRight w:val="0"/>
      <w:marTop w:val="0"/>
      <w:marBottom w:val="0"/>
      <w:divBdr>
        <w:top w:val="none" w:sz="0" w:space="0" w:color="auto"/>
        <w:left w:val="none" w:sz="0" w:space="0" w:color="auto"/>
        <w:bottom w:val="none" w:sz="0" w:space="0" w:color="auto"/>
        <w:right w:val="none" w:sz="0" w:space="0" w:color="auto"/>
      </w:divBdr>
      <w:divsChild>
        <w:div w:id="1541477238">
          <w:marLeft w:val="0"/>
          <w:marRight w:val="0"/>
          <w:marTop w:val="0"/>
          <w:marBottom w:val="0"/>
          <w:divBdr>
            <w:top w:val="none" w:sz="0" w:space="0" w:color="auto"/>
            <w:left w:val="none" w:sz="0" w:space="0" w:color="auto"/>
            <w:bottom w:val="none" w:sz="0" w:space="0" w:color="auto"/>
            <w:right w:val="none" w:sz="0" w:space="0" w:color="auto"/>
          </w:divBdr>
          <w:divsChild>
            <w:div w:id="152721647">
              <w:marLeft w:val="0"/>
              <w:marRight w:val="0"/>
              <w:marTop w:val="0"/>
              <w:marBottom w:val="0"/>
              <w:divBdr>
                <w:top w:val="none" w:sz="0" w:space="0" w:color="auto"/>
                <w:left w:val="none" w:sz="0" w:space="0" w:color="auto"/>
                <w:bottom w:val="none" w:sz="0" w:space="0" w:color="auto"/>
                <w:right w:val="none" w:sz="0" w:space="0" w:color="auto"/>
              </w:divBdr>
              <w:divsChild>
                <w:div w:id="122213245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74821536">
      <w:bodyDiv w:val="1"/>
      <w:marLeft w:val="0"/>
      <w:marRight w:val="0"/>
      <w:marTop w:val="0"/>
      <w:marBottom w:val="0"/>
      <w:divBdr>
        <w:top w:val="none" w:sz="0" w:space="0" w:color="auto"/>
        <w:left w:val="none" w:sz="0" w:space="0" w:color="auto"/>
        <w:bottom w:val="none" w:sz="0" w:space="0" w:color="auto"/>
        <w:right w:val="none" w:sz="0" w:space="0" w:color="auto"/>
      </w:divBdr>
      <w:divsChild>
        <w:div w:id="1579511560">
          <w:marLeft w:val="0"/>
          <w:marRight w:val="0"/>
          <w:marTop w:val="0"/>
          <w:marBottom w:val="0"/>
          <w:divBdr>
            <w:top w:val="none" w:sz="0" w:space="0" w:color="auto"/>
            <w:left w:val="none" w:sz="0" w:space="0" w:color="auto"/>
            <w:bottom w:val="none" w:sz="0" w:space="0" w:color="auto"/>
            <w:right w:val="none" w:sz="0" w:space="0" w:color="auto"/>
          </w:divBdr>
          <w:divsChild>
            <w:div w:id="480124839">
              <w:marLeft w:val="0"/>
              <w:marRight w:val="0"/>
              <w:marTop w:val="0"/>
              <w:marBottom w:val="0"/>
              <w:divBdr>
                <w:top w:val="none" w:sz="0" w:space="0" w:color="auto"/>
                <w:left w:val="none" w:sz="0" w:space="0" w:color="auto"/>
                <w:bottom w:val="none" w:sz="0" w:space="0" w:color="auto"/>
                <w:right w:val="none" w:sz="0" w:space="0" w:color="auto"/>
              </w:divBdr>
              <w:divsChild>
                <w:div w:id="38044164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98436372">
      <w:bodyDiv w:val="1"/>
      <w:marLeft w:val="0"/>
      <w:marRight w:val="0"/>
      <w:marTop w:val="0"/>
      <w:marBottom w:val="0"/>
      <w:divBdr>
        <w:top w:val="none" w:sz="0" w:space="0" w:color="auto"/>
        <w:left w:val="none" w:sz="0" w:space="0" w:color="auto"/>
        <w:bottom w:val="none" w:sz="0" w:space="0" w:color="auto"/>
        <w:right w:val="none" w:sz="0" w:space="0" w:color="auto"/>
      </w:divBdr>
      <w:divsChild>
        <w:div w:id="1557087054">
          <w:marLeft w:val="0"/>
          <w:marRight w:val="0"/>
          <w:marTop w:val="0"/>
          <w:marBottom w:val="0"/>
          <w:divBdr>
            <w:top w:val="none" w:sz="0" w:space="0" w:color="auto"/>
            <w:left w:val="none" w:sz="0" w:space="0" w:color="auto"/>
            <w:bottom w:val="none" w:sz="0" w:space="0" w:color="auto"/>
            <w:right w:val="none" w:sz="0" w:space="0" w:color="auto"/>
          </w:divBdr>
          <w:divsChild>
            <w:div w:id="1887401377">
              <w:marLeft w:val="0"/>
              <w:marRight w:val="0"/>
              <w:marTop w:val="0"/>
              <w:marBottom w:val="0"/>
              <w:divBdr>
                <w:top w:val="none" w:sz="0" w:space="0" w:color="auto"/>
                <w:left w:val="none" w:sz="0" w:space="0" w:color="auto"/>
                <w:bottom w:val="none" w:sz="0" w:space="0" w:color="auto"/>
                <w:right w:val="none" w:sz="0" w:space="0" w:color="auto"/>
              </w:divBdr>
              <w:divsChild>
                <w:div w:id="198916323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21504325">
      <w:bodyDiv w:val="1"/>
      <w:marLeft w:val="0"/>
      <w:marRight w:val="0"/>
      <w:marTop w:val="0"/>
      <w:marBottom w:val="0"/>
      <w:divBdr>
        <w:top w:val="none" w:sz="0" w:space="0" w:color="auto"/>
        <w:left w:val="none" w:sz="0" w:space="0" w:color="auto"/>
        <w:bottom w:val="none" w:sz="0" w:space="0" w:color="auto"/>
        <w:right w:val="none" w:sz="0" w:space="0" w:color="auto"/>
      </w:divBdr>
      <w:divsChild>
        <w:div w:id="273678564">
          <w:marLeft w:val="0"/>
          <w:marRight w:val="0"/>
          <w:marTop w:val="0"/>
          <w:marBottom w:val="0"/>
          <w:divBdr>
            <w:top w:val="none" w:sz="0" w:space="0" w:color="auto"/>
            <w:left w:val="none" w:sz="0" w:space="0" w:color="auto"/>
            <w:bottom w:val="none" w:sz="0" w:space="0" w:color="auto"/>
            <w:right w:val="none" w:sz="0" w:space="0" w:color="auto"/>
          </w:divBdr>
          <w:divsChild>
            <w:div w:id="2081824780">
              <w:marLeft w:val="0"/>
              <w:marRight w:val="0"/>
              <w:marTop w:val="0"/>
              <w:marBottom w:val="0"/>
              <w:divBdr>
                <w:top w:val="none" w:sz="0" w:space="0" w:color="auto"/>
                <w:left w:val="none" w:sz="0" w:space="0" w:color="auto"/>
                <w:bottom w:val="none" w:sz="0" w:space="0" w:color="auto"/>
                <w:right w:val="none" w:sz="0" w:space="0" w:color="auto"/>
              </w:divBdr>
              <w:divsChild>
                <w:div w:id="182203746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20629473">
      <w:bodyDiv w:val="1"/>
      <w:marLeft w:val="0"/>
      <w:marRight w:val="0"/>
      <w:marTop w:val="0"/>
      <w:marBottom w:val="0"/>
      <w:divBdr>
        <w:top w:val="none" w:sz="0" w:space="0" w:color="auto"/>
        <w:left w:val="none" w:sz="0" w:space="0" w:color="auto"/>
        <w:bottom w:val="none" w:sz="0" w:space="0" w:color="auto"/>
        <w:right w:val="none" w:sz="0" w:space="0" w:color="auto"/>
      </w:divBdr>
      <w:divsChild>
        <w:div w:id="1334840973">
          <w:marLeft w:val="0"/>
          <w:marRight w:val="0"/>
          <w:marTop w:val="0"/>
          <w:marBottom w:val="0"/>
          <w:divBdr>
            <w:top w:val="none" w:sz="0" w:space="0" w:color="auto"/>
            <w:left w:val="none" w:sz="0" w:space="0" w:color="auto"/>
            <w:bottom w:val="none" w:sz="0" w:space="0" w:color="auto"/>
            <w:right w:val="none" w:sz="0" w:space="0" w:color="auto"/>
          </w:divBdr>
          <w:divsChild>
            <w:div w:id="1441220852">
              <w:marLeft w:val="0"/>
              <w:marRight w:val="0"/>
              <w:marTop w:val="0"/>
              <w:marBottom w:val="0"/>
              <w:divBdr>
                <w:top w:val="none" w:sz="0" w:space="0" w:color="auto"/>
                <w:left w:val="none" w:sz="0" w:space="0" w:color="auto"/>
                <w:bottom w:val="none" w:sz="0" w:space="0" w:color="auto"/>
                <w:right w:val="none" w:sz="0" w:space="0" w:color="auto"/>
              </w:divBdr>
              <w:divsChild>
                <w:div w:id="203981497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52038686">
      <w:bodyDiv w:val="1"/>
      <w:marLeft w:val="0"/>
      <w:marRight w:val="0"/>
      <w:marTop w:val="0"/>
      <w:marBottom w:val="0"/>
      <w:divBdr>
        <w:top w:val="none" w:sz="0" w:space="0" w:color="auto"/>
        <w:left w:val="none" w:sz="0" w:space="0" w:color="auto"/>
        <w:bottom w:val="none" w:sz="0" w:space="0" w:color="auto"/>
        <w:right w:val="none" w:sz="0" w:space="0" w:color="auto"/>
      </w:divBdr>
      <w:divsChild>
        <w:div w:id="1152598466">
          <w:marLeft w:val="0"/>
          <w:marRight w:val="0"/>
          <w:marTop w:val="0"/>
          <w:marBottom w:val="0"/>
          <w:divBdr>
            <w:top w:val="none" w:sz="0" w:space="0" w:color="auto"/>
            <w:left w:val="none" w:sz="0" w:space="0" w:color="auto"/>
            <w:bottom w:val="none" w:sz="0" w:space="0" w:color="auto"/>
            <w:right w:val="none" w:sz="0" w:space="0" w:color="auto"/>
          </w:divBdr>
          <w:divsChild>
            <w:div w:id="1009674119">
              <w:marLeft w:val="0"/>
              <w:marRight w:val="0"/>
              <w:marTop w:val="0"/>
              <w:marBottom w:val="0"/>
              <w:divBdr>
                <w:top w:val="none" w:sz="0" w:space="0" w:color="auto"/>
                <w:left w:val="none" w:sz="0" w:space="0" w:color="auto"/>
                <w:bottom w:val="none" w:sz="0" w:space="0" w:color="auto"/>
                <w:right w:val="none" w:sz="0" w:space="0" w:color="auto"/>
              </w:divBdr>
              <w:divsChild>
                <w:div w:id="147351793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65187982">
      <w:bodyDiv w:val="1"/>
      <w:marLeft w:val="0"/>
      <w:marRight w:val="0"/>
      <w:marTop w:val="0"/>
      <w:marBottom w:val="0"/>
      <w:divBdr>
        <w:top w:val="none" w:sz="0" w:space="0" w:color="auto"/>
        <w:left w:val="none" w:sz="0" w:space="0" w:color="auto"/>
        <w:bottom w:val="none" w:sz="0" w:space="0" w:color="auto"/>
        <w:right w:val="none" w:sz="0" w:space="0" w:color="auto"/>
      </w:divBdr>
      <w:divsChild>
        <w:div w:id="981688727">
          <w:marLeft w:val="0"/>
          <w:marRight w:val="0"/>
          <w:marTop w:val="0"/>
          <w:marBottom w:val="0"/>
          <w:divBdr>
            <w:top w:val="none" w:sz="0" w:space="0" w:color="auto"/>
            <w:left w:val="none" w:sz="0" w:space="0" w:color="auto"/>
            <w:bottom w:val="none" w:sz="0" w:space="0" w:color="auto"/>
            <w:right w:val="none" w:sz="0" w:space="0" w:color="auto"/>
          </w:divBdr>
          <w:divsChild>
            <w:div w:id="971791665">
              <w:marLeft w:val="0"/>
              <w:marRight w:val="0"/>
              <w:marTop w:val="0"/>
              <w:marBottom w:val="0"/>
              <w:divBdr>
                <w:top w:val="none" w:sz="0" w:space="0" w:color="auto"/>
                <w:left w:val="none" w:sz="0" w:space="0" w:color="auto"/>
                <w:bottom w:val="none" w:sz="0" w:space="0" w:color="auto"/>
                <w:right w:val="none" w:sz="0" w:space="0" w:color="auto"/>
              </w:divBdr>
              <w:divsChild>
                <w:div w:id="101588115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93218389">
      <w:bodyDiv w:val="1"/>
      <w:marLeft w:val="0"/>
      <w:marRight w:val="0"/>
      <w:marTop w:val="0"/>
      <w:marBottom w:val="0"/>
      <w:divBdr>
        <w:top w:val="none" w:sz="0" w:space="0" w:color="auto"/>
        <w:left w:val="none" w:sz="0" w:space="0" w:color="auto"/>
        <w:bottom w:val="none" w:sz="0" w:space="0" w:color="auto"/>
        <w:right w:val="none" w:sz="0" w:space="0" w:color="auto"/>
      </w:divBdr>
      <w:divsChild>
        <w:div w:id="91824190">
          <w:marLeft w:val="0"/>
          <w:marRight w:val="0"/>
          <w:marTop w:val="0"/>
          <w:marBottom w:val="0"/>
          <w:divBdr>
            <w:top w:val="none" w:sz="0" w:space="0" w:color="auto"/>
            <w:left w:val="none" w:sz="0" w:space="0" w:color="auto"/>
            <w:bottom w:val="none" w:sz="0" w:space="0" w:color="auto"/>
            <w:right w:val="none" w:sz="0" w:space="0" w:color="auto"/>
          </w:divBdr>
          <w:divsChild>
            <w:div w:id="1453398748">
              <w:marLeft w:val="0"/>
              <w:marRight w:val="0"/>
              <w:marTop w:val="0"/>
              <w:marBottom w:val="0"/>
              <w:divBdr>
                <w:top w:val="none" w:sz="0" w:space="0" w:color="auto"/>
                <w:left w:val="none" w:sz="0" w:space="0" w:color="auto"/>
                <w:bottom w:val="none" w:sz="0" w:space="0" w:color="auto"/>
                <w:right w:val="none" w:sz="0" w:space="0" w:color="auto"/>
              </w:divBdr>
              <w:divsChild>
                <w:div w:id="184346711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holar.google.com/citations?view_op=list_works&amp;hl=en&amp;hl=en&amp;user=iM7Db-wAAAAJ&amp;sortby=pubdate" TargetMode="External"/><Relationship Id="rId4" Type="http://schemas.openxmlformats.org/officeDocument/2006/relationships/hyperlink" Target="https://doi.org/10.1038/s41586-022-05046-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Wanze</dc:creator>
  <cp:keywords/>
  <dc:description/>
  <cp:lastModifiedBy>Chen Wanze</cp:lastModifiedBy>
  <cp:revision>7</cp:revision>
  <dcterms:created xsi:type="dcterms:W3CDTF">2023-03-20T06:59:00Z</dcterms:created>
  <dcterms:modified xsi:type="dcterms:W3CDTF">2023-03-20T07:33:00Z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id="ZbHuISMH"/&gt;&lt;style id="http://www.zotero.org/styles/nature" hasBibliography="1" bibliographyStyleHasBeenSet="0"/&gt;&lt;prefs&gt;&lt;pref name="fieldType" value="Field"/&gt;&lt;/prefs&gt;&lt;/data&gt;</vt:lpwstr>
  </property>
</Properties>
</file>